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28"/>
          <w:szCs w:val="28"/>
        </w:rPr>
      </w:pPr>
      <w:bookmarkStart w:id="0" w:name="OLE_LINK2"/>
      <w:bookmarkStart w:id="1" w:name="OLE_LINK1"/>
      <w:bookmarkStart w:id="2" w:name="OLE_LINK3"/>
      <w:r>
        <w:rPr>
          <w:rFonts w:hint="eastAsia" w:ascii="仿宋" w:hAnsi="仿宋" w:eastAsia="仿宋" w:cs="仿宋"/>
          <w:b/>
          <w:sz w:val="28"/>
          <w:szCs w:val="28"/>
        </w:rPr>
        <w:t>关于浙江大学</w:t>
      </w:r>
      <w:r>
        <w:rPr>
          <w:rFonts w:hint="eastAsia" w:ascii="仿宋" w:hAnsi="仿宋" w:eastAsia="仿宋" w:cs="仿宋"/>
          <w:b/>
          <w:sz w:val="28"/>
          <w:szCs w:val="28"/>
          <w:lang w:val="en-US" w:eastAsia="zh-Hans"/>
        </w:rPr>
        <w:t>生命科学研究院</w:t>
      </w:r>
      <w:r>
        <w:rPr>
          <w:rFonts w:hint="eastAsia" w:ascii="仿宋" w:hAnsi="仿宋" w:eastAsia="仿宋" w:cs="仿宋"/>
          <w:b/>
          <w:sz w:val="28"/>
          <w:szCs w:val="28"/>
          <w:lang w:val="en-US" w:eastAsia="zh-CN"/>
        </w:rPr>
        <w:t>5</w:t>
      </w:r>
      <w:r>
        <w:rPr>
          <w:rFonts w:hint="eastAsia" w:ascii="仿宋" w:hAnsi="仿宋" w:eastAsia="仿宋" w:cs="仿宋"/>
          <w:b/>
          <w:sz w:val="28"/>
          <w:szCs w:val="28"/>
        </w:rPr>
        <w:t>件</w:t>
      </w:r>
      <w:r>
        <w:rPr>
          <w:rFonts w:hint="eastAsia" w:ascii="仿宋" w:hAnsi="仿宋" w:eastAsia="仿宋" w:cs="仿宋"/>
          <w:b/>
          <w:sz w:val="28"/>
          <w:szCs w:val="28"/>
          <w:lang w:val="en-US" w:eastAsia="zh-CN"/>
        </w:rPr>
        <w:t>专利/专利申请权转让</w:t>
      </w:r>
      <w:r>
        <w:rPr>
          <w:rFonts w:hint="eastAsia" w:ascii="仿宋" w:hAnsi="仿宋" w:eastAsia="仿宋" w:cs="仿宋"/>
          <w:b/>
          <w:sz w:val="28"/>
          <w:szCs w:val="28"/>
        </w:rPr>
        <w:t>的公示</w:t>
      </w:r>
    </w:p>
    <w:p>
      <w:pPr>
        <w:jc w:val="center"/>
        <w:rPr>
          <w:rFonts w:asciiTheme="minorEastAsia" w:hAnsiTheme="minorEastAsia" w:eastAsiaTheme="minorEastAsia"/>
          <w:b/>
          <w:sz w:val="28"/>
          <w:szCs w:val="28"/>
        </w:rPr>
      </w:pPr>
    </w:p>
    <w:p>
      <w:pPr>
        <w:spacing w:line="360" w:lineRule="auto"/>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浙江大学</w:t>
      </w:r>
      <w:r>
        <w:rPr>
          <w:rFonts w:hint="eastAsia" w:ascii="仿宋" w:hAnsi="仿宋" w:eastAsia="仿宋"/>
          <w:color w:val="000000" w:themeColor="text1"/>
          <w:sz w:val="24"/>
          <w:szCs w:val="28"/>
          <w:lang w:val="en-US" w:eastAsia="zh-Hans"/>
          <w14:textFill>
            <w14:solidFill>
              <w14:schemeClr w14:val="tx1"/>
            </w14:solidFill>
          </w14:textFill>
        </w:rPr>
        <w:t>生命科学研究院</w:t>
      </w:r>
      <w:r>
        <w:rPr>
          <w:rFonts w:hint="eastAsia" w:ascii="仿宋" w:hAnsi="仿宋" w:eastAsia="仿宋"/>
          <w:color w:val="000000" w:themeColor="text1"/>
          <w:sz w:val="24"/>
          <w:szCs w:val="28"/>
          <w:lang w:val="en-US" w:eastAsia="zh-CN"/>
          <w14:textFill>
            <w14:solidFill>
              <w14:schemeClr w14:val="tx1"/>
            </w14:solidFill>
          </w14:textFill>
        </w:rPr>
        <w:t>5件专利/专利申请权</w:t>
      </w:r>
      <w:r>
        <w:rPr>
          <w:rFonts w:hint="eastAsia" w:ascii="仿宋" w:hAnsi="仿宋" w:eastAsia="仿宋"/>
          <w:color w:val="000000" w:themeColor="text1"/>
          <w:sz w:val="24"/>
          <w:szCs w:val="28"/>
          <w14:textFill>
            <w14:solidFill>
              <w14:schemeClr w14:val="tx1"/>
            </w14:solidFill>
          </w14:textFill>
        </w:rPr>
        <w:t>拟</w:t>
      </w:r>
      <w:r>
        <w:rPr>
          <w:rFonts w:hint="eastAsia" w:ascii="仿宋" w:hAnsi="仿宋" w:eastAsia="仿宋"/>
          <w:color w:val="000000" w:themeColor="text1"/>
          <w:sz w:val="24"/>
          <w:szCs w:val="28"/>
          <w:lang w:val="en-US" w:eastAsia="zh-CN"/>
          <w14:textFill>
            <w14:solidFill>
              <w14:schemeClr w14:val="tx1"/>
            </w14:solidFill>
          </w14:textFill>
        </w:rPr>
        <w:t>转让</w:t>
      </w:r>
      <w:r>
        <w:rPr>
          <w:rFonts w:hint="eastAsia" w:ascii="仿宋" w:hAnsi="仿宋" w:eastAsia="仿宋"/>
          <w:color w:val="000000" w:themeColor="text1"/>
          <w:sz w:val="24"/>
          <w:szCs w:val="28"/>
          <w14:textFill>
            <w14:solidFill>
              <w14:schemeClr w14:val="tx1"/>
            </w14:solidFill>
          </w14:textFill>
        </w:rPr>
        <w:t>，现将相关信息予以公示。</w:t>
      </w:r>
    </w:p>
    <w:p>
      <w:pPr>
        <w:numPr>
          <w:ilvl w:val="0"/>
          <w:numId w:val="1"/>
        </w:numPr>
        <w:tabs>
          <w:tab w:val="left" w:pos="312"/>
        </w:tabs>
        <w:spacing w:line="360" w:lineRule="auto"/>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lang w:val="en-US" w:eastAsia="zh-CN"/>
          <w14:textFill>
            <w14:solidFill>
              <w14:schemeClr w14:val="tx1"/>
            </w14:solidFill>
          </w14:textFill>
        </w:rPr>
        <w:t>专利</w:t>
      </w:r>
      <w:r>
        <w:rPr>
          <w:rFonts w:hint="eastAsia" w:ascii="仿宋" w:hAnsi="仿宋" w:eastAsia="仿宋"/>
          <w:color w:val="000000" w:themeColor="text1"/>
          <w:sz w:val="24"/>
          <w:szCs w:val="28"/>
          <w14:textFill>
            <w14:solidFill>
              <w14:schemeClr w14:val="tx1"/>
            </w14:solidFill>
          </w14:textFill>
        </w:rPr>
        <w:t>名称：一种利用嵌合设计方法构建正交的氨酰-tRNA合成酶/tRNA体系</w:t>
      </w:r>
    </w:p>
    <w:p>
      <w:pPr>
        <w:tabs>
          <w:tab w:val="left" w:pos="312"/>
        </w:tabs>
        <w:spacing w:line="360" w:lineRule="auto"/>
        <w:ind w:firstLine="480" w:firstLineChars="200"/>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lang w:val="en-US" w:eastAsia="zh-CN"/>
          <w14:textFill>
            <w14:solidFill>
              <w14:schemeClr w14:val="tx1"/>
            </w14:solidFill>
          </w14:textFill>
        </w:rPr>
        <w:t>专利</w:t>
      </w:r>
      <w:r>
        <w:rPr>
          <w:rFonts w:hint="eastAsia" w:ascii="仿宋" w:hAnsi="仿宋" w:eastAsia="仿宋"/>
          <w:color w:val="000000" w:themeColor="text1"/>
          <w:sz w:val="24"/>
          <w:szCs w:val="28"/>
          <w14:textFill>
            <w14:solidFill>
              <w14:schemeClr w14:val="tx1"/>
            </w14:solidFill>
          </w14:textFill>
        </w:rPr>
        <w:t>号：201910440254.8</w:t>
      </w:r>
    </w:p>
    <w:p>
      <w:pPr>
        <w:tabs>
          <w:tab w:val="left" w:pos="312"/>
        </w:tabs>
        <w:spacing w:line="360" w:lineRule="auto"/>
        <w:ind w:firstLine="480" w:firstLineChars="200"/>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lang w:val="en-US" w:eastAsia="zh-CN"/>
          <w14:textFill>
            <w14:solidFill>
              <w14:schemeClr w14:val="tx1"/>
            </w14:solidFill>
          </w14:textFill>
        </w:rPr>
        <w:t>专利</w:t>
      </w:r>
      <w:r>
        <w:rPr>
          <w:rFonts w:hint="eastAsia" w:ascii="仿宋" w:hAnsi="仿宋" w:eastAsia="仿宋"/>
          <w:color w:val="000000" w:themeColor="text1"/>
          <w:sz w:val="24"/>
          <w:szCs w:val="28"/>
          <w14:textFill>
            <w14:solidFill>
              <w14:schemeClr w14:val="tx1"/>
            </w14:solidFill>
          </w14:textFill>
        </w:rPr>
        <w:t>简介：一种利用嵌合设计方法构建正交的氨酰‑tRNA合成酶/tRNA体系，属于化学生物学技术领域。其特征在于移植吡咯赖氨酰‑tRNA合成酶/tRNA对在真核细胞和原核细胞的广泛正交性。本发明的体系通过合理的嵌合设计移植了吡咯赖氨酰‑tRNA合成酶/tRNA系统的真核生物和原核生物普适正交性，包括几个嵌合的tRNA合成酶/tRNA体系，包括但不限于组氨酸、苯丙氨酸、丙氨酸和丝氨酸系统，所述体系不仅具有高效性，而且具有吡咯赖氨酰‑tRNA合成酶/tRNAPyl系统的灵活性，可应用到原核生物和真核生物中。所述方法毫无疑问的可以应用到其他氨酰‑tRNA合成酶/tRNA对的正交性改造。</w:t>
      </w:r>
    </w:p>
    <w:p>
      <w:pPr>
        <w:numPr>
          <w:ilvl w:val="0"/>
          <w:numId w:val="1"/>
        </w:numPr>
        <w:tabs>
          <w:tab w:val="left" w:pos="312"/>
        </w:tabs>
        <w:spacing w:line="360" w:lineRule="auto"/>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lang w:val="en-US" w:eastAsia="zh-CN"/>
          <w14:textFill>
            <w14:solidFill>
              <w14:schemeClr w14:val="tx1"/>
            </w14:solidFill>
          </w14:textFill>
        </w:rPr>
        <w:t>专利</w:t>
      </w:r>
      <w:r>
        <w:rPr>
          <w:rFonts w:hint="eastAsia" w:ascii="仿宋" w:hAnsi="仿宋" w:eastAsia="仿宋"/>
          <w:color w:val="000000" w:themeColor="text1"/>
          <w:sz w:val="24"/>
          <w:szCs w:val="28"/>
          <w14:textFill>
            <w14:solidFill>
              <w14:schemeClr w14:val="tx1"/>
            </w14:solidFill>
          </w14:textFill>
        </w:rPr>
        <w:t>名称：嵌合苯丙氨酰-tRNA合成酶/tRNA的应用</w:t>
      </w:r>
    </w:p>
    <w:p>
      <w:pPr>
        <w:tabs>
          <w:tab w:val="left" w:pos="312"/>
        </w:tabs>
        <w:spacing w:line="360" w:lineRule="auto"/>
        <w:ind w:firstLine="480" w:firstLineChars="200"/>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lang w:val="en-US" w:eastAsia="zh-CN"/>
          <w14:textFill>
            <w14:solidFill>
              <w14:schemeClr w14:val="tx1"/>
            </w14:solidFill>
          </w14:textFill>
        </w:rPr>
        <w:t>专利</w:t>
      </w:r>
      <w:r>
        <w:rPr>
          <w:rFonts w:hint="eastAsia" w:ascii="仿宋" w:hAnsi="仿宋" w:eastAsia="仿宋"/>
          <w:color w:val="000000" w:themeColor="text1"/>
          <w:sz w:val="24"/>
          <w:szCs w:val="28"/>
          <w14:textFill>
            <w14:solidFill>
              <w14:schemeClr w14:val="tx1"/>
            </w14:solidFill>
          </w14:textFill>
        </w:rPr>
        <w:t>号：201911095377.9</w:t>
      </w:r>
    </w:p>
    <w:p>
      <w:pPr>
        <w:tabs>
          <w:tab w:val="left" w:pos="312"/>
        </w:tabs>
        <w:spacing w:line="360" w:lineRule="auto"/>
        <w:ind w:firstLine="480" w:firstLineChars="200"/>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lang w:val="en-US" w:eastAsia="zh-CN"/>
          <w14:textFill>
            <w14:solidFill>
              <w14:schemeClr w14:val="tx1"/>
            </w14:solidFill>
          </w14:textFill>
        </w:rPr>
        <w:t>专利</w:t>
      </w:r>
      <w:r>
        <w:rPr>
          <w:rFonts w:hint="eastAsia" w:ascii="仿宋" w:hAnsi="仿宋" w:eastAsia="仿宋"/>
          <w:color w:val="000000" w:themeColor="text1"/>
          <w:sz w:val="24"/>
          <w:szCs w:val="28"/>
          <w14:textFill>
            <w14:solidFill>
              <w14:schemeClr w14:val="tx1"/>
            </w14:solidFill>
          </w14:textFill>
        </w:rPr>
        <w:t>简介：嵌合苯丙氨酰‑tRNA合成酶/tRNA的应用，属于化学生物技术领域。本发明提出利用嵌合苯丙氨酰‑tRNA合成酶/tRNA在哺乳动物细胞和大肠杆菌中高效的实现色氨酸/酪氨酸类似物在蛋白质特定位点的插入，通过这个系统筛选到了一系列色氨酸的衍生物和络氨酸类似物。</w:t>
      </w:r>
    </w:p>
    <w:p>
      <w:pPr>
        <w:numPr>
          <w:ilvl w:val="0"/>
          <w:numId w:val="1"/>
        </w:numPr>
        <w:tabs>
          <w:tab w:val="left" w:pos="312"/>
        </w:tabs>
        <w:spacing w:line="360" w:lineRule="auto"/>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lang w:val="en-US" w:eastAsia="zh-CN"/>
          <w14:textFill>
            <w14:solidFill>
              <w14:schemeClr w14:val="tx1"/>
            </w14:solidFill>
          </w14:textFill>
        </w:rPr>
        <w:t>专利</w:t>
      </w:r>
      <w:r>
        <w:rPr>
          <w:rFonts w:hint="eastAsia" w:ascii="仿宋" w:hAnsi="仿宋" w:eastAsia="仿宋"/>
          <w:color w:val="000000" w:themeColor="text1"/>
          <w:sz w:val="24"/>
          <w:szCs w:val="28"/>
          <w14:textFill>
            <w14:solidFill>
              <w14:schemeClr w14:val="tx1"/>
            </w14:solidFill>
          </w14:textFill>
        </w:rPr>
        <w:t>名称：一种引入非天然氨基酸的嵌合体苯丙氨酸翻译系统及其构建方法</w:t>
      </w:r>
    </w:p>
    <w:p>
      <w:pPr>
        <w:tabs>
          <w:tab w:val="left" w:pos="312"/>
        </w:tabs>
        <w:spacing w:line="360" w:lineRule="auto"/>
        <w:ind w:firstLine="480" w:firstLineChars="200"/>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lang w:val="en-US" w:eastAsia="zh-CN"/>
          <w14:textFill>
            <w14:solidFill>
              <w14:schemeClr w14:val="tx1"/>
            </w14:solidFill>
          </w14:textFill>
        </w:rPr>
        <w:t>申请</w:t>
      </w:r>
      <w:r>
        <w:rPr>
          <w:rFonts w:hint="eastAsia" w:ascii="仿宋" w:hAnsi="仿宋" w:eastAsia="仿宋"/>
          <w:color w:val="000000" w:themeColor="text1"/>
          <w:sz w:val="24"/>
          <w:szCs w:val="28"/>
          <w14:textFill>
            <w14:solidFill>
              <w14:schemeClr w14:val="tx1"/>
            </w14:solidFill>
          </w14:textFill>
        </w:rPr>
        <w:t>号：202111293920.3</w:t>
      </w:r>
    </w:p>
    <w:p>
      <w:pPr>
        <w:tabs>
          <w:tab w:val="left" w:pos="312"/>
        </w:tabs>
        <w:spacing w:line="360" w:lineRule="auto"/>
        <w:ind w:firstLine="480" w:firstLineChars="200"/>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lang w:val="en-US" w:eastAsia="zh-CN"/>
          <w14:textFill>
            <w14:solidFill>
              <w14:schemeClr w14:val="tx1"/>
            </w14:solidFill>
          </w14:textFill>
        </w:rPr>
        <w:t>专利</w:t>
      </w:r>
      <w:r>
        <w:rPr>
          <w:rFonts w:hint="eastAsia" w:ascii="仿宋" w:hAnsi="仿宋" w:eastAsia="仿宋"/>
          <w:color w:val="000000" w:themeColor="text1"/>
          <w:sz w:val="24"/>
          <w:szCs w:val="28"/>
          <w14:textFill>
            <w14:solidFill>
              <w14:schemeClr w14:val="tx1"/>
            </w14:solidFill>
          </w14:textFill>
        </w:rPr>
        <w:t>简介：本发明公开了一种引入非天然氨基酸的嵌合体苯丙氨酸翻译系统及其构建方法。本发明提供了一种引入非天然氨基酸的嵌合体苯丙氨酸翻译系统的构建方法，以及由该构建方法构建得到的AzF依赖的大肠杆菌菌株和嵌合体苯丙氨酸翻译系统。本发明提供的翻译系统建立的定向进化策略具有广谱适用性，可应用于其他遗传密码扩展系统的定向进化；另外，本发明提供的翻译系统建立的识别4‑叠氮‑苯丙氨酸(AzF)的嵌合体苯丙氨酸翻译系统的信噪比高达65倍。</w:t>
      </w:r>
    </w:p>
    <w:p>
      <w:pPr>
        <w:numPr>
          <w:ilvl w:val="0"/>
          <w:numId w:val="1"/>
        </w:numPr>
        <w:tabs>
          <w:tab w:val="left" w:pos="312"/>
        </w:tabs>
        <w:spacing w:line="360" w:lineRule="auto"/>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lang w:val="en-US" w:eastAsia="zh-CN"/>
          <w14:textFill>
            <w14:solidFill>
              <w14:schemeClr w14:val="tx1"/>
            </w14:solidFill>
          </w14:textFill>
        </w:rPr>
        <w:t>专利</w:t>
      </w:r>
      <w:r>
        <w:rPr>
          <w:rFonts w:hint="eastAsia" w:ascii="仿宋" w:hAnsi="仿宋" w:eastAsia="仿宋"/>
          <w:color w:val="000000" w:themeColor="text1"/>
          <w:sz w:val="24"/>
          <w:szCs w:val="28"/>
          <w14:textFill>
            <w14:solidFill>
              <w14:schemeClr w14:val="tx1"/>
            </w14:solidFill>
          </w14:textFill>
        </w:rPr>
        <w:t>名称：一种正交翻译系统及其在再分配密码子恢复PTC疾病中功能蛋白表达方面的应用</w:t>
      </w:r>
    </w:p>
    <w:p>
      <w:pPr>
        <w:tabs>
          <w:tab w:val="left" w:pos="312"/>
        </w:tabs>
        <w:spacing w:line="360" w:lineRule="auto"/>
        <w:ind w:firstLine="480" w:firstLineChars="200"/>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lang w:val="en-US" w:eastAsia="zh-CN"/>
          <w14:textFill>
            <w14:solidFill>
              <w14:schemeClr w14:val="tx1"/>
            </w14:solidFill>
          </w14:textFill>
        </w:rPr>
        <w:t>申请</w:t>
      </w:r>
      <w:r>
        <w:rPr>
          <w:rFonts w:hint="eastAsia" w:ascii="仿宋" w:hAnsi="仿宋" w:eastAsia="仿宋"/>
          <w:color w:val="000000" w:themeColor="text1"/>
          <w:sz w:val="24"/>
          <w:szCs w:val="28"/>
          <w14:textFill>
            <w14:solidFill>
              <w14:schemeClr w14:val="tx1"/>
            </w14:solidFill>
          </w14:textFill>
        </w:rPr>
        <w:t>号：202210540917.5</w:t>
      </w:r>
    </w:p>
    <w:p>
      <w:pPr>
        <w:tabs>
          <w:tab w:val="left" w:pos="312"/>
        </w:tabs>
        <w:spacing w:line="360" w:lineRule="auto"/>
        <w:ind w:firstLine="480" w:firstLineChars="200"/>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lang w:val="en-US" w:eastAsia="zh-CN"/>
          <w14:textFill>
            <w14:solidFill>
              <w14:schemeClr w14:val="tx1"/>
            </w14:solidFill>
          </w14:textFill>
        </w:rPr>
        <w:t>专利</w:t>
      </w:r>
      <w:r>
        <w:rPr>
          <w:rFonts w:hint="eastAsia" w:ascii="仿宋" w:hAnsi="仿宋" w:eastAsia="仿宋"/>
          <w:color w:val="000000" w:themeColor="text1"/>
          <w:sz w:val="24"/>
          <w:szCs w:val="28"/>
          <w14:textFill>
            <w14:solidFill>
              <w14:schemeClr w14:val="tx1"/>
            </w14:solidFill>
          </w14:textFill>
        </w:rPr>
        <w:t>简介：本发明涉及一种哺乳动物细胞的正交翻译系统的开发以及在制备治疗人类PTC疾病药物中的应用，特别涉及一种正交翻译系统及其在再分配密码子恢复PTC疾病中功能蛋白表达方面的应用，属于基因工程技术领域。所述的正交翻译系统，包括正交tRNA和正交氨酰‑tRNA合成酶，正交氨酰‑tRNA合成酶chPheRS、chHisRS、chAlaRS、chSerRS、chTrpRS、EcTyrRS、EcLeuRS的核苷酸序列依次如SEQ ID NO.1～7所示，正交tRNA的核苷酸序列依次如SEQ ID NO.8～28所示。</w:t>
      </w:r>
    </w:p>
    <w:p>
      <w:pPr>
        <w:numPr>
          <w:ilvl w:val="0"/>
          <w:numId w:val="1"/>
        </w:numPr>
        <w:tabs>
          <w:tab w:val="left" w:pos="312"/>
        </w:tabs>
        <w:spacing w:line="360" w:lineRule="auto"/>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lang w:val="en-US" w:eastAsia="zh-CN"/>
          <w14:textFill>
            <w14:solidFill>
              <w14:schemeClr w14:val="tx1"/>
            </w14:solidFill>
          </w14:textFill>
        </w:rPr>
        <w:t>专利</w:t>
      </w:r>
      <w:r>
        <w:rPr>
          <w:rFonts w:hint="eastAsia" w:ascii="仿宋" w:hAnsi="仿宋" w:eastAsia="仿宋"/>
          <w:color w:val="000000" w:themeColor="text1"/>
          <w:sz w:val="24"/>
          <w:szCs w:val="28"/>
          <w14:textFill>
            <w14:solidFill>
              <w14:schemeClr w14:val="tx1"/>
            </w14:solidFill>
          </w14:textFill>
        </w:rPr>
        <w:t>名称：</w:t>
      </w:r>
      <w:r>
        <w:rPr>
          <w:rFonts w:hint="eastAsia" w:ascii="仿宋" w:hAnsi="仿宋" w:eastAsia="仿宋"/>
          <w:color w:val="000000" w:themeColor="text1"/>
          <w:sz w:val="24"/>
          <w:szCs w:val="28"/>
          <w:lang w:val="en-US" w:eastAsia="zh-CN"/>
          <w14:textFill>
            <w14:solidFill>
              <w14:schemeClr w14:val="tx1"/>
            </w14:solidFill>
          </w14:textFill>
        </w:rPr>
        <w:t>一种利用遗传密码扩展提高阳离子-</w:t>
      </w:r>
      <w:r>
        <w:rPr>
          <w:rFonts w:hint="eastAsia" w:ascii="微软雅黑" w:hAnsi="微软雅黑" w:eastAsia="微软雅黑" w:cs="微软雅黑"/>
          <w:color w:val="000000" w:themeColor="text1"/>
          <w:sz w:val="24"/>
          <w:szCs w:val="28"/>
          <w:lang w:val="en-US" w:eastAsia="zh-CN"/>
          <w14:textFill>
            <w14:solidFill>
              <w14:schemeClr w14:val="tx1"/>
            </w14:solidFill>
          </w14:textFill>
        </w:rPr>
        <w:t>π</w:t>
      </w:r>
      <w:r>
        <w:rPr>
          <w:rFonts w:hint="eastAsia" w:ascii="仿宋" w:hAnsi="仿宋" w:eastAsia="仿宋"/>
          <w:color w:val="000000" w:themeColor="text1"/>
          <w:sz w:val="24"/>
          <w:szCs w:val="28"/>
          <w:lang w:val="en-US" w:eastAsia="zh-CN"/>
          <w14:textFill>
            <w14:solidFill>
              <w14:schemeClr w14:val="tx1"/>
            </w14:solidFill>
          </w14:textFill>
        </w:rPr>
        <w:t>相互作用的方法及应用</w:t>
      </w:r>
    </w:p>
    <w:p>
      <w:pPr>
        <w:tabs>
          <w:tab w:val="left" w:pos="312"/>
        </w:tabs>
        <w:spacing w:line="360" w:lineRule="auto"/>
        <w:ind w:firstLine="480" w:firstLineChars="200"/>
        <w:rPr>
          <w:rFonts w:hint="default" w:ascii="仿宋" w:hAnsi="仿宋" w:eastAsia="仿宋"/>
          <w:color w:val="000000" w:themeColor="text1"/>
          <w:sz w:val="24"/>
          <w:szCs w:val="28"/>
          <w:lang w:val="en-US" w:eastAsia="zh-CN"/>
          <w14:textFill>
            <w14:solidFill>
              <w14:schemeClr w14:val="tx1"/>
            </w14:solidFill>
          </w14:textFill>
        </w:rPr>
      </w:pPr>
      <w:r>
        <w:rPr>
          <w:rFonts w:hint="eastAsia" w:ascii="仿宋" w:hAnsi="仿宋" w:eastAsia="仿宋"/>
          <w:color w:val="000000" w:themeColor="text1"/>
          <w:sz w:val="24"/>
          <w:szCs w:val="28"/>
          <w:lang w:val="en-US" w:eastAsia="zh-CN"/>
          <w14:textFill>
            <w14:solidFill>
              <w14:schemeClr w14:val="tx1"/>
            </w14:solidFill>
          </w14:textFill>
        </w:rPr>
        <w:t>申请</w:t>
      </w:r>
      <w:r>
        <w:rPr>
          <w:rFonts w:hint="eastAsia" w:ascii="仿宋" w:hAnsi="仿宋" w:eastAsia="仿宋"/>
          <w:color w:val="000000" w:themeColor="text1"/>
          <w:sz w:val="24"/>
          <w:szCs w:val="28"/>
          <w14:textFill>
            <w14:solidFill>
              <w14:schemeClr w14:val="tx1"/>
            </w14:solidFill>
          </w14:textFill>
        </w:rPr>
        <w:t>号：</w:t>
      </w:r>
      <w:r>
        <w:rPr>
          <w:rFonts w:hint="eastAsia" w:ascii="仿宋" w:hAnsi="仿宋" w:eastAsia="仿宋"/>
          <w:color w:val="000000" w:themeColor="text1"/>
          <w:sz w:val="24"/>
          <w:szCs w:val="28"/>
          <w:lang w:val="en-US" w:eastAsia="zh-CN"/>
          <w14:textFill>
            <w14:solidFill>
              <w14:schemeClr w14:val="tx1"/>
            </w14:solidFill>
          </w14:textFill>
        </w:rPr>
        <w:t>202210140263.7</w:t>
      </w:r>
    </w:p>
    <w:p>
      <w:pPr>
        <w:tabs>
          <w:tab w:val="left" w:pos="312"/>
        </w:tabs>
        <w:spacing w:line="360" w:lineRule="auto"/>
        <w:ind w:firstLine="480" w:firstLineChars="200"/>
        <w:rPr>
          <w:rFonts w:hint="default" w:ascii="仿宋" w:hAnsi="仿宋" w:eastAsia="仿宋"/>
          <w:color w:val="000000" w:themeColor="text1"/>
          <w:sz w:val="24"/>
          <w:szCs w:val="28"/>
          <w:lang w:val="en-US" w:eastAsia="zh-CN"/>
          <w14:textFill>
            <w14:solidFill>
              <w14:schemeClr w14:val="tx1"/>
            </w14:solidFill>
          </w14:textFill>
        </w:rPr>
      </w:pPr>
      <w:r>
        <w:rPr>
          <w:rFonts w:hint="eastAsia" w:ascii="仿宋" w:hAnsi="仿宋" w:eastAsia="仿宋"/>
          <w:color w:val="000000" w:themeColor="text1"/>
          <w:sz w:val="24"/>
          <w:szCs w:val="28"/>
          <w:lang w:val="en-US" w:eastAsia="zh-CN"/>
          <w14:textFill>
            <w14:solidFill>
              <w14:schemeClr w14:val="tx1"/>
            </w14:solidFill>
          </w14:textFill>
        </w:rPr>
        <w:t>专利</w:t>
      </w:r>
      <w:r>
        <w:rPr>
          <w:rFonts w:hint="eastAsia" w:ascii="仿宋" w:hAnsi="仿宋" w:eastAsia="仿宋"/>
          <w:color w:val="000000" w:themeColor="text1"/>
          <w:sz w:val="24"/>
          <w:szCs w:val="28"/>
          <w14:textFill>
            <w14:solidFill>
              <w14:schemeClr w14:val="tx1"/>
            </w14:solidFill>
          </w14:textFill>
        </w:rPr>
        <w:t>简介：</w:t>
      </w:r>
      <w:r>
        <w:rPr>
          <w:rFonts w:hint="eastAsia" w:ascii="仿宋" w:hAnsi="仿宋" w:eastAsia="仿宋"/>
          <w:color w:val="000000" w:themeColor="text1"/>
          <w:sz w:val="24"/>
          <w:szCs w:val="28"/>
          <w:lang w:val="en-US" w:eastAsia="zh-CN"/>
          <w14:textFill>
            <w14:solidFill>
              <w14:schemeClr w14:val="tx1"/>
            </w14:solidFill>
          </w14:textFill>
        </w:rPr>
        <w:t>本发明提供一种利用遗传密码扩展提高阳离子-</w:t>
      </w:r>
      <w:r>
        <w:rPr>
          <w:rFonts w:hint="eastAsia" w:ascii="微软雅黑" w:hAnsi="微软雅黑" w:eastAsia="微软雅黑" w:cs="微软雅黑"/>
          <w:color w:val="000000" w:themeColor="text1"/>
          <w:sz w:val="24"/>
          <w:szCs w:val="28"/>
          <w:lang w:val="en-US" w:eastAsia="zh-CN"/>
          <w14:textFill>
            <w14:solidFill>
              <w14:schemeClr w14:val="tx1"/>
            </w14:solidFill>
          </w14:textFill>
        </w:rPr>
        <w:t>π</w:t>
      </w:r>
      <w:r>
        <w:rPr>
          <w:rFonts w:hint="eastAsia" w:ascii="仿宋" w:hAnsi="仿宋" w:eastAsia="仿宋"/>
          <w:color w:val="000000" w:themeColor="text1"/>
          <w:sz w:val="24"/>
          <w:szCs w:val="28"/>
          <w:lang w:val="en-US" w:eastAsia="zh-CN"/>
          <w14:textFill>
            <w14:solidFill>
              <w14:schemeClr w14:val="tx1"/>
            </w14:solidFill>
          </w14:textFill>
        </w:rPr>
        <w:t>相互作用的方法及应用，以组蛋白甲基化修饰的解码蛋白为例，利用遗传密码扩展技术在解码蛋白的芳香笼的色氨酸位点引入强给电子侧链基团取代的色氨酸类似物，提高解码蛋白与组蛋白甲基化修饰的亲和力，建立识别组蛋白甲基化修饰的超亲体分子识别系统。</w:t>
      </w:r>
    </w:p>
    <w:p>
      <w:pPr>
        <w:tabs>
          <w:tab w:val="left" w:pos="312"/>
        </w:tabs>
        <w:spacing w:line="360" w:lineRule="auto"/>
        <w:ind w:firstLine="480" w:firstLineChars="200"/>
        <w:rPr>
          <w:rFonts w:hint="eastAsia" w:ascii="仿宋" w:hAnsi="仿宋" w:eastAsia="仿宋"/>
          <w:color w:val="000000" w:themeColor="text1"/>
          <w:sz w:val="24"/>
          <w:szCs w:val="28"/>
          <w:lang w:val="en-US" w:eastAsia="zh-CN"/>
          <w14:textFill>
            <w14:solidFill>
              <w14:schemeClr w14:val="tx1"/>
            </w14:solidFill>
          </w14:textFill>
        </w:rPr>
      </w:pPr>
    </w:p>
    <w:p>
      <w:pPr>
        <w:spacing w:line="360" w:lineRule="auto"/>
        <w:rPr>
          <w:rFonts w:hint="default" w:ascii="仿宋" w:hAnsi="仿宋" w:eastAsia="仿宋"/>
          <w:color w:val="000000" w:themeColor="text1"/>
          <w:sz w:val="24"/>
          <w:szCs w:val="28"/>
          <w:lang w:val="en-US" w:eastAsia="zh-CN"/>
          <w14:textFill>
            <w14:solidFill>
              <w14:schemeClr w14:val="tx1"/>
            </w14:solidFill>
          </w14:textFill>
        </w:rPr>
      </w:pPr>
      <w:bookmarkStart w:id="3" w:name="_GoBack"/>
      <w:r>
        <w:rPr>
          <w:rFonts w:hint="eastAsia" w:ascii="仿宋" w:hAnsi="仿宋" w:eastAsia="仿宋"/>
          <w:color w:val="000000" w:themeColor="text1"/>
          <w:sz w:val="24"/>
          <w:szCs w:val="28"/>
          <w14:textFill>
            <w14:solidFill>
              <w14:schemeClr w14:val="tx1"/>
            </w14:solidFill>
          </w14:textFill>
        </w:rPr>
        <w:t>转化方式：</w:t>
      </w:r>
      <w:r>
        <w:rPr>
          <w:rFonts w:hint="eastAsia" w:ascii="仿宋" w:hAnsi="仿宋" w:eastAsia="仿宋"/>
          <w:color w:val="000000" w:themeColor="text1"/>
          <w:sz w:val="24"/>
          <w:szCs w:val="28"/>
          <w:lang w:val="en-US" w:eastAsia="zh-CN"/>
          <w14:textFill>
            <w14:solidFill>
              <w14:schemeClr w14:val="tx1"/>
            </w14:solidFill>
          </w14:textFill>
        </w:rPr>
        <w:t>转让</w:t>
      </w:r>
    </w:p>
    <w:p>
      <w:pPr>
        <w:spacing w:line="360" w:lineRule="auto"/>
        <w:rPr>
          <w:rFonts w:hint="eastAsia" w:ascii="仿宋" w:hAnsi="仿宋" w:eastAsia="仿宋"/>
          <w:color w:val="000000" w:themeColor="text1"/>
          <w:sz w:val="24"/>
          <w:szCs w:val="28"/>
          <w:lang w:val="en-US" w:eastAsia="zh-CN"/>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定价方式：</w:t>
      </w:r>
      <w:r>
        <w:rPr>
          <w:rFonts w:hint="eastAsia" w:ascii="仿宋" w:hAnsi="仿宋" w:eastAsia="仿宋"/>
          <w:color w:val="000000" w:themeColor="text1"/>
          <w:sz w:val="24"/>
          <w:szCs w:val="28"/>
          <w:lang w:val="en-US" w:eastAsia="zh-CN"/>
          <w14:textFill>
            <w14:solidFill>
              <w14:schemeClr w14:val="tx1"/>
            </w14:solidFill>
          </w14:textFill>
        </w:rPr>
        <w:t>挂牌交易</w:t>
      </w:r>
    </w:p>
    <w:p>
      <w:pPr>
        <w:spacing w:line="360" w:lineRule="auto"/>
        <w:rPr>
          <w:rFonts w:hint="eastAsia" w:ascii="仿宋" w:hAnsi="仿宋" w:eastAsia="仿宋"/>
          <w:color w:val="000000" w:themeColor="text1"/>
          <w:sz w:val="24"/>
          <w:szCs w:val="28"/>
          <w:lang w:val="en-US" w:eastAsia="zh-CN"/>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转化价格：</w:t>
      </w:r>
      <w:r>
        <w:rPr>
          <w:rFonts w:hint="eastAsia" w:ascii="仿宋" w:hAnsi="仿宋" w:eastAsia="仿宋"/>
          <w:color w:val="000000" w:themeColor="text1"/>
          <w:sz w:val="24"/>
          <w:szCs w:val="28"/>
          <w:lang w:val="en-US" w:eastAsia="zh-CN"/>
          <w14:textFill>
            <w14:solidFill>
              <w14:schemeClr w14:val="tx1"/>
            </w14:solidFill>
          </w14:textFill>
        </w:rPr>
        <w:t>215万元</w:t>
      </w:r>
    </w:p>
    <w:p>
      <w:pPr>
        <w:spacing w:line="360" w:lineRule="auto"/>
        <w:rPr>
          <w:rFonts w:hint="eastAsia" w:ascii="仿宋" w:hAnsi="仿宋" w:eastAsia="仿宋"/>
          <w:color w:val="000000" w:themeColor="text1"/>
          <w:sz w:val="24"/>
          <w:szCs w:val="28"/>
          <w:lang w:val="en-US" w:eastAsia="zh-CN"/>
          <w14:textFill>
            <w14:solidFill>
              <w14:schemeClr w14:val="tx1"/>
            </w14:solidFill>
          </w14:textFill>
        </w:rPr>
      </w:pPr>
      <w:bookmarkEnd w:id="0"/>
      <w:bookmarkEnd w:id="1"/>
      <w:bookmarkEnd w:id="2"/>
    </w:p>
    <w:p>
      <w:pPr>
        <w:spacing w:line="360" w:lineRule="auto"/>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公示期自2022年</w:t>
      </w:r>
      <w:r>
        <w:rPr>
          <w:rFonts w:hint="eastAsia" w:ascii="仿宋" w:hAnsi="仿宋" w:eastAsia="仿宋"/>
          <w:color w:val="000000" w:themeColor="text1"/>
          <w:sz w:val="24"/>
          <w:szCs w:val="28"/>
          <w:lang w:val="en-US" w:eastAsia="zh-CN"/>
          <w14:textFill>
            <w14:solidFill>
              <w14:schemeClr w14:val="tx1"/>
            </w14:solidFill>
          </w14:textFill>
        </w:rPr>
        <w:t>8</w:t>
      </w:r>
      <w:r>
        <w:rPr>
          <w:rFonts w:hint="eastAsia" w:ascii="仿宋" w:hAnsi="仿宋" w:eastAsia="仿宋"/>
          <w:color w:val="000000" w:themeColor="text1"/>
          <w:sz w:val="24"/>
          <w:szCs w:val="28"/>
          <w14:textFill>
            <w14:solidFill>
              <w14:schemeClr w14:val="tx1"/>
            </w14:solidFill>
          </w14:textFill>
        </w:rPr>
        <w:t>月</w:t>
      </w:r>
      <w:r>
        <w:rPr>
          <w:rFonts w:hint="eastAsia" w:ascii="仿宋" w:hAnsi="仿宋" w:eastAsia="仿宋"/>
          <w:color w:val="000000" w:themeColor="text1"/>
          <w:sz w:val="24"/>
          <w:szCs w:val="28"/>
          <w:lang w:val="en-US" w:eastAsia="zh-CN"/>
          <w14:textFill>
            <w14:solidFill>
              <w14:schemeClr w14:val="tx1"/>
            </w14:solidFill>
          </w14:textFill>
        </w:rPr>
        <w:t>23</w:t>
      </w:r>
      <w:r>
        <w:rPr>
          <w:rFonts w:hint="eastAsia" w:ascii="仿宋" w:hAnsi="仿宋" w:eastAsia="仿宋"/>
          <w:color w:val="000000" w:themeColor="text1"/>
          <w:sz w:val="24"/>
          <w:szCs w:val="28"/>
          <w14:textFill>
            <w14:solidFill>
              <w14:schemeClr w14:val="tx1"/>
            </w14:solidFill>
          </w14:textFill>
        </w:rPr>
        <w:t>日至2022年</w:t>
      </w:r>
      <w:r>
        <w:rPr>
          <w:rFonts w:hint="eastAsia" w:ascii="仿宋" w:hAnsi="仿宋" w:eastAsia="仿宋"/>
          <w:color w:val="000000" w:themeColor="text1"/>
          <w:sz w:val="24"/>
          <w:szCs w:val="28"/>
          <w:lang w:val="en-US" w:eastAsia="zh-CN"/>
          <w14:textFill>
            <w14:solidFill>
              <w14:schemeClr w14:val="tx1"/>
            </w14:solidFill>
          </w14:textFill>
        </w:rPr>
        <w:t>9</w:t>
      </w:r>
      <w:r>
        <w:rPr>
          <w:rFonts w:hint="eastAsia" w:ascii="仿宋" w:hAnsi="仿宋" w:eastAsia="仿宋"/>
          <w:color w:val="000000" w:themeColor="text1"/>
          <w:sz w:val="24"/>
          <w:szCs w:val="28"/>
          <w14:textFill>
            <w14:solidFill>
              <w14:schemeClr w14:val="tx1"/>
            </w14:solidFill>
          </w14:textFill>
        </w:rPr>
        <w:t>月</w:t>
      </w:r>
      <w:r>
        <w:rPr>
          <w:rFonts w:hint="eastAsia" w:ascii="仿宋" w:hAnsi="仿宋" w:eastAsia="仿宋"/>
          <w:color w:val="000000" w:themeColor="text1"/>
          <w:sz w:val="24"/>
          <w:szCs w:val="28"/>
          <w:lang w:val="en-US" w:eastAsia="zh-CN"/>
          <w14:textFill>
            <w14:solidFill>
              <w14:schemeClr w14:val="tx1"/>
            </w14:solidFill>
          </w14:textFill>
        </w:rPr>
        <w:t>6</w:t>
      </w:r>
      <w:r>
        <w:rPr>
          <w:rFonts w:hint="eastAsia" w:ascii="仿宋" w:hAnsi="仿宋" w:eastAsia="仿宋"/>
          <w:color w:val="000000" w:themeColor="text1"/>
          <w:sz w:val="24"/>
          <w:szCs w:val="28"/>
          <w14:textFill>
            <w14:solidFill>
              <w14:schemeClr w14:val="tx1"/>
            </w14:solidFill>
          </w14:textFill>
        </w:rPr>
        <w:t>日。如有异议，请在公示期内向</w:t>
      </w:r>
      <w:r>
        <w:rPr>
          <w:rFonts w:hint="eastAsia" w:ascii="仿宋" w:hAnsi="仿宋" w:eastAsia="仿宋"/>
          <w:color w:val="000000" w:themeColor="text1"/>
          <w:sz w:val="24"/>
          <w:szCs w:val="28"/>
          <w:lang w:val="en-US" w:eastAsia="zh-Hans"/>
          <w14:textFill>
            <w14:solidFill>
              <w14:schemeClr w14:val="tx1"/>
            </w14:solidFill>
          </w14:textFill>
        </w:rPr>
        <w:t>生命科学</w:t>
      </w:r>
      <w:r>
        <w:rPr>
          <w:rFonts w:hint="eastAsia" w:ascii="仿宋" w:hAnsi="仿宋" w:eastAsia="仿宋"/>
          <w:color w:val="000000" w:themeColor="text1"/>
          <w:sz w:val="24"/>
          <w:szCs w:val="28"/>
          <w14:textFill>
            <w14:solidFill>
              <w14:schemeClr w14:val="tx1"/>
            </w14:solidFill>
          </w14:textFill>
        </w:rPr>
        <w:t>研究院提交异议书及有关证据。</w:t>
      </w:r>
    </w:p>
    <w:p>
      <w:pPr>
        <w:spacing w:line="360" w:lineRule="auto"/>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电话：0571-8898</w:t>
      </w:r>
      <w:r>
        <w:rPr>
          <w:rFonts w:hint="default" w:ascii="仿宋" w:hAnsi="仿宋" w:eastAsia="仿宋"/>
          <w:color w:val="000000" w:themeColor="text1"/>
          <w:sz w:val="24"/>
          <w:szCs w:val="28"/>
          <w14:textFill>
            <w14:solidFill>
              <w14:schemeClr w14:val="tx1"/>
            </w14:solidFill>
          </w14:textFill>
        </w:rPr>
        <w:t>1336</w:t>
      </w:r>
      <w:r>
        <w:rPr>
          <w:rFonts w:hint="eastAsia" w:ascii="仿宋" w:hAnsi="仿宋" w:eastAsia="仿宋"/>
          <w:color w:val="000000" w:themeColor="text1"/>
          <w:sz w:val="24"/>
          <w:szCs w:val="28"/>
          <w14:textFill>
            <w14:solidFill>
              <w14:schemeClr w14:val="tx1"/>
            </w14:solidFill>
          </w14:textFill>
        </w:rPr>
        <w:t>，邮箱：</w:t>
      </w:r>
      <w:r>
        <w:rPr>
          <w:rFonts w:hint="default" w:ascii="仿宋" w:hAnsi="仿宋" w:eastAsia="仿宋"/>
          <w:color w:val="000000" w:themeColor="text1"/>
          <w:sz w:val="24"/>
          <w:szCs w:val="28"/>
          <w14:textFill>
            <w14:solidFill>
              <w14:schemeClr w14:val="tx1"/>
            </w14:solidFill>
          </w14:textFill>
        </w:rPr>
        <w:t>zhangdandan_</w:t>
      </w:r>
      <w:r>
        <w:rPr>
          <w:rFonts w:hint="eastAsia" w:ascii="仿宋" w:hAnsi="仿宋" w:eastAsia="仿宋"/>
          <w:color w:val="000000" w:themeColor="text1"/>
          <w:sz w:val="24"/>
          <w:szCs w:val="28"/>
          <w14:textFill>
            <w14:solidFill>
              <w14:schemeClr w14:val="tx1"/>
            </w14:solidFill>
          </w14:textFill>
        </w:rPr>
        <w:t>@zju.edu.cn。</w:t>
      </w:r>
    </w:p>
    <w:p>
      <w:pPr>
        <w:spacing w:line="360" w:lineRule="auto"/>
        <w:jc w:val="right"/>
        <w:rPr>
          <w:rFonts w:ascii="仿宋" w:hAnsi="仿宋" w:eastAsia="仿宋"/>
          <w:color w:val="000000" w:themeColor="text1"/>
          <w:sz w:val="24"/>
          <w:szCs w:val="28"/>
          <w14:textFill>
            <w14:solidFill>
              <w14:schemeClr w14:val="tx1"/>
            </w14:solidFill>
          </w14:textFill>
        </w:rPr>
      </w:pPr>
    </w:p>
    <w:p>
      <w:pPr>
        <w:spacing w:line="360" w:lineRule="auto"/>
        <w:jc w:val="right"/>
        <w:rPr>
          <w:rFonts w:ascii="仿宋" w:hAnsi="仿宋" w:eastAsia="仿宋"/>
          <w:color w:val="000000" w:themeColor="text1"/>
          <w:sz w:val="24"/>
          <w:szCs w:val="28"/>
          <w14:textFill>
            <w14:solidFill>
              <w14:schemeClr w14:val="tx1"/>
            </w14:solidFill>
          </w14:textFill>
        </w:rPr>
      </w:pPr>
    </w:p>
    <w:p>
      <w:pPr>
        <w:spacing w:line="360" w:lineRule="auto"/>
        <w:jc w:val="right"/>
        <w:rPr>
          <w:rFonts w:hint="eastAsia" w:ascii="仿宋" w:hAnsi="仿宋" w:eastAsia="仿宋"/>
          <w:color w:val="000000" w:themeColor="text1"/>
          <w:sz w:val="24"/>
          <w:szCs w:val="28"/>
          <w:lang w:val="en-US" w:eastAsia="zh-Hans"/>
          <w14:textFill>
            <w14:solidFill>
              <w14:schemeClr w14:val="tx1"/>
            </w14:solidFill>
          </w14:textFill>
        </w:rPr>
      </w:pPr>
      <w:r>
        <w:rPr>
          <w:rFonts w:hint="eastAsia" w:ascii="仿宋" w:hAnsi="仿宋" w:eastAsia="仿宋"/>
          <w:color w:val="000000" w:themeColor="text1"/>
          <w:sz w:val="24"/>
          <w:szCs w:val="28"/>
          <w:lang w:val="en-US" w:eastAsia="zh-Hans"/>
          <w14:textFill>
            <w14:solidFill>
              <w14:schemeClr w14:val="tx1"/>
            </w14:solidFill>
          </w14:textFill>
        </w:rPr>
        <w:t>浙江大学生命科学研究院</w:t>
      </w:r>
    </w:p>
    <w:p>
      <w:pPr>
        <w:wordWrap w:val="0"/>
        <w:spacing w:line="360" w:lineRule="auto"/>
        <w:jc w:val="righ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2022年</w:t>
      </w:r>
      <w:r>
        <w:rPr>
          <w:rFonts w:hint="eastAsia" w:ascii="仿宋" w:hAnsi="仿宋" w:eastAsia="仿宋"/>
          <w:color w:val="000000" w:themeColor="text1"/>
          <w:sz w:val="24"/>
          <w:szCs w:val="28"/>
          <w:lang w:val="en-US" w:eastAsia="zh-CN"/>
          <w14:textFill>
            <w14:solidFill>
              <w14:schemeClr w14:val="tx1"/>
            </w14:solidFill>
          </w14:textFill>
        </w:rPr>
        <w:t>8</w:t>
      </w:r>
      <w:r>
        <w:rPr>
          <w:rFonts w:hint="eastAsia" w:ascii="仿宋" w:hAnsi="仿宋" w:eastAsia="仿宋"/>
          <w:color w:val="000000" w:themeColor="text1"/>
          <w:sz w:val="24"/>
          <w:szCs w:val="28"/>
          <w14:textFill>
            <w14:solidFill>
              <w14:schemeClr w14:val="tx1"/>
            </w14:solidFill>
          </w14:textFill>
        </w:rPr>
        <w:t>月</w:t>
      </w:r>
      <w:r>
        <w:rPr>
          <w:rFonts w:hint="eastAsia" w:ascii="仿宋" w:hAnsi="仿宋" w:eastAsia="仿宋"/>
          <w:color w:val="000000" w:themeColor="text1"/>
          <w:sz w:val="24"/>
          <w:szCs w:val="28"/>
          <w:lang w:val="en-US" w:eastAsia="zh-CN"/>
          <w14:textFill>
            <w14:solidFill>
              <w14:schemeClr w14:val="tx1"/>
            </w14:solidFill>
          </w14:textFill>
        </w:rPr>
        <w:t>23</w:t>
      </w:r>
      <w:r>
        <w:rPr>
          <w:rFonts w:hint="eastAsia" w:ascii="仿宋" w:hAnsi="仿宋" w:eastAsia="仿宋"/>
          <w:color w:val="000000" w:themeColor="text1"/>
          <w:sz w:val="24"/>
          <w:szCs w:val="28"/>
          <w14:textFill>
            <w14:solidFill>
              <w14:schemeClr w14:val="tx1"/>
            </w14:solidFill>
          </w14:textFill>
        </w:rPr>
        <w:t>日</w:t>
      </w:r>
      <w:r>
        <w:rPr>
          <w:rFonts w:ascii="仿宋" w:hAnsi="仿宋" w:eastAsia="仿宋"/>
          <w:color w:val="000000" w:themeColor="text1"/>
          <w:sz w:val="24"/>
          <w:szCs w:val="28"/>
          <w14:textFill>
            <w14:solidFill>
              <w14:schemeClr w14:val="tx1"/>
            </w14:solidFill>
          </w14:textFill>
        </w:rPr>
        <w:t xml:space="preserve">  </w:t>
      </w:r>
      <w:bookmarkEnd w:id="3"/>
      <w:r>
        <w:rPr>
          <w:rFonts w:ascii="仿宋" w:hAnsi="仿宋" w:eastAsia="仿宋"/>
          <w:color w:val="000000" w:themeColor="text1"/>
          <w:sz w:val="24"/>
          <w:szCs w:val="28"/>
          <w14:textFill>
            <w14:solidFill>
              <w14:schemeClr w14:val="tx1"/>
            </w14:solidFill>
          </w14:textFill>
        </w:rPr>
        <w:t xml:space="preserve"> </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7CB37C"/>
    <w:multiLevelType w:val="singleLevel"/>
    <w:tmpl w:val="D07CB37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Y2MzMzJjNDhlZmVhMjUwZTk5NDg3OGU1YjY2ODQifQ=="/>
  </w:docVars>
  <w:rsids>
    <w:rsidRoot w:val="0085097F"/>
    <w:rsid w:val="00000D15"/>
    <w:rsid w:val="00001BBB"/>
    <w:rsid w:val="0001587D"/>
    <w:rsid w:val="0003256F"/>
    <w:rsid w:val="00041754"/>
    <w:rsid w:val="0005007E"/>
    <w:rsid w:val="00052212"/>
    <w:rsid w:val="00057A5A"/>
    <w:rsid w:val="000651A8"/>
    <w:rsid w:val="0006601B"/>
    <w:rsid w:val="00083C2A"/>
    <w:rsid w:val="00085363"/>
    <w:rsid w:val="000973A6"/>
    <w:rsid w:val="0009765D"/>
    <w:rsid w:val="000B116E"/>
    <w:rsid w:val="000C2EBE"/>
    <w:rsid w:val="000D2D6C"/>
    <w:rsid w:val="000D6093"/>
    <w:rsid w:val="000D6A86"/>
    <w:rsid w:val="000D6EDC"/>
    <w:rsid w:val="000E236A"/>
    <w:rsid w:val="000E5936"/>
    <w:rsid w:val="000E7CB3"/>
    <w:rsid w:val="000F36F3"/>
    <w:rsid w:val="00102956"/>
    <w:rsid w:val="00107F03"/>
    <w:rsid w:val="001120FC"/>
    <w:rsid w:val="00114128"/>
    <w:rsid w:val="0011455A"/>
    <w:rsid w:val="001238BF"/>
    <w:rsid w:val="0013170B"/>
    <w:rsid w:val="00136F0A"/>
    <w:rsid w:val="001513CB"/>
    <w:rsid w:val="00156C8D"/>
    <w:rsid w:val="00156FFB"/>
    <w:rsid w:val="00163A95"/>
    <w:rsid w:val="001673EE"/>
    <w:rsid w:val="00174D68"/>
    <w:rsid w:val="00176A5E"/>
    <w:rsid w:val="00182349"/>
    <w:rsid w:val="0018440C"/>
    <w:rsid w:val="00185F35"/>
    <w:rsid w:val="00193B11"/>
    <w:rsid w:val="001A637F"/>
    <w:rsid w:val="001B2AC2"/>
    <w:rsid w:val="001C78D0"/>
    <w:rsid w:val="001D0131"/>
    <w:rsid w:val="001E1F9E"/>
    <w:rsid w:val="001E7A15"/>
    <w:rsid w:val="001F3461"/>
    <w:rsid w:val="0020069C"/>
    <w:rsid w:val="00202FF2"/>
    <w:rsid w:val="00230E6E"/>
    <w:rsid w:val="002433F7"/>
    <w:rsid w:val="00243713"/>
    <w:rsid w:val="00243E9F"/>
    <w:rsid w:val="00275B0D"/>
    <w:rsid w:val="002770F9"/>
    <w:rsid w:val="002853E4"/>
    <w:rsid w:val="0028649F"/>
    <w:rsid w:val="002872EC"/>
    <w:rsid w:val="00294792"/>
    <w:rsid w:val="002963DC"/>
    <w:rsid w:val="002A0CA7"/>
    <w:rsid w:val="002B0BDC"/>
    <w:rsid w:val="002B5941"/>
    <w:rsid w:val="002C1DCD"/>
    <w:rsid w:val="002C2F69"/>
    <w:rsid w:val="002C61A3"/>
    <w:rsid w:val="002D2896"/>
    <w:rsid w:val="002D7E6C"/>
    <w:rsid w:val="002E0B06"/>
    <w:rsid w:val="002E1BDE"/>
    <w:rsid w:val="0030171E"/>
    <w:rsid w:val="00302514"/>
    <w:rsid w:val="003044A4"/>
    <w:rsid w:val="00306A42"/>
    <w:rsid w:val="00317530"/>
    <w:rsid w:val="0032532D"/>
    <w:rsid w:val="00327BE5"/>
    <w:rsid w:val="00331ADC"/>
    <w:rsid w:val="00334F7C"/>
    <w:rsid w:val="003350B8"/>
    <w:rsid w:val="00346D52"/>
    <w:rsid w:val="00356EEB"/>
    <w:rsid w:val="00361843"/>
    <w:rsid w:val="003711CA"/>
    <w:rsid w:val="00374CA4"/>
    <w:rsid w:val="0038520B"/>
    <w:rsid w:val="00395AEC"/>
    <w:rsid w:val="003971C2"/>
    <w:rsid w:val="003A07F9"/>
    <w:rsid w:val="003A45E8"/>
    <w:rsid w:val="003B3C5E"/>
    <w:rsid w:val="003D03DF"/>
    <w:rsid w:val="003D133F"/>
    <w:rsid w:val="003E4F81"/>
    <w:rsid w:val="003F02D0"/>
    <w:rsid w:val="003F5360"/>
    <w:rsid w:val="003F6063"/>
    <w:rsid w:val="00403152"/>
    <w:rsid w:val="00405178"/>
    <w:rsid w:val="00406177"/>
    <w:rsid w:val="004103B2"/>
    <w:rsid w:val="00413FDF"/>
    <w:rsid w:val="00414EFA"/>
    <w:rsid w:val="00423964"/>
    <w:rsid w:val="004271E3"/>
    <w:rsid w:val="00430E98"/>
    <w:rsid w:val="0043394E"/>
    <w:rsid w:val="00434BB5"/>
    <w:rsid w:val="00434CED"/>
    <w:rsid w:val="00437F9A"/>
    <w:rsid w:val="004443C3"/>
    <w:rsid w:val="0045025F"/>
    <w:rsid w:val="00455378"/>
    <w:rsid w:val="004554F8"/>
    <w:rsid w:val="0047395E"/>
    <w:rsid w:val="004757CE"/>
    <w:rsid w:val="004763ED"/>
    <w:rsid w:val="00476B7C"/>
    <w:rsid w:val="0049246F"/>
    <w:rsid w:val="004B2AA3"/>
    <w:rsid w:val="004B2F90"/>
    <w:rsid w:val="004D2927"/>
    <w:rsid w:val="004E37E9"/>
    <w:rsid w:val="004E6CBE"/>
    <w:rsid w:val="004F145A"/>
    <w:rsid w:val="004F148E"/>
    <w:rsid w:val="004F4071"/>
    <w:rsid w:val="004F6145"/>
    <w:rsid w:val="005118A5"/>
    <w:rsid w:val="005352FD"/>
    <w:rsid w:val="00541CAC"/>
    <w:rsid w:val="005447F2"/>
    <w:rsid w:val="00552A5A"/>
    <w:rsid w:val="00554CF3"/>
    <w:rsid w:val="005620AC"/>
    <w:rsid w:val="00564802"/>
    <w:rsid w:val="005650BB"/>
    <w:rsid w:val="00592AEF"/>
    <w:rsid w:val="005A6BD8"/>
    <w:rsid w:val="005B40EC"/>
    <w:rsid w:val="005B7EE0"/>
    <w:rsid w:val="005D160E"/>
    <w:rsid w:val="005D3200"/>
    <w:rsid w:val="005E134F"/>
    <w:rsid w:val="005E68A7"/>
    <w:rsid w:val="005F2290"/>
    <w:rsid w:val="005F3B6C"/>
    <w:rsid w:val="00602286"/>
    <w:rsid w:val="00606C1F"/>
    <w:rsid w:val="0061046C"/>
    <w:rsid w:val="00613106"/>
    <w:rsid w:val="00620A2B"/>
    <w:rsid w:val="006304E2"/>
    <w:rsid w:val="0063239B"/>
    <w:rsid w:val="0063494F"/>
    <w:rsid w:val="00642D49"/>
    <w:rsid w:val="00645886"/>
    <w:rsid w:val="00651A04"/>
    <w:rsid w:val="006541EF"/>
    <w:rsid w:val="0065514C"/>
    <w:rsid w:val="00662E64"/>
    <w:rsid w:val="00665694"/>
    <w:rsid w:val="00667DAE"/>
    <w:rsid w:val="00671465"/>
    <w:rsid w:val="00692931"/>
    <w:rsid w:val="00693F42"/>
    <w:rsid w:val="006960F8"/>
    <w:rsid w:val="006A32A9"/>
    <w:rsid w:val="006A3BEB"/>
    <w:rsid w:val="006B35A8"/>
    <w:rsid w:val="006B4186"/>
    <w:rsid w:val="006B6766"/>
    <w:rsid w:val="006B7637"/>
    <w:rsid w:val="006C4B56"/>
    <w:rsid w:val="006C61F4"/>
    <w:rsid w:val="006D11DC"/>
    <w:rsid w:val="006D2ABE"/>
    <w:rsid w:val="006D5688"/>
    <w:rsid w:val="006E2481"/>
    <w:rsid w:val="006E2A7D"/>
    <w:rsid w:val="006E3FF3"/>
    <w:rsid w:val="006E5730"/>
    <w:rsid w:val="006F69A1"/>
    <w:rsid w:val="00703522"/>
    <w:rsid w:val="007038A0"/>
    <w:rsid w:val="00710DD4"/>
    <w:rsid w:val="00712A3B"/>
    <w:rsid w:val="00713832"/>
    <w:rsid w:val="00713D45"/>
    <w:rsid w:val="007229C3"/>
    <w:rsid w:val="007352E5"/>
    <w:rsid w:val="007533CE"/>
    <w:rsid w:val="00753D56"/>
    <w:rsid w:val="007546E0"/>
    <w:rsid w:val="00760B4D"/>
    <w:rsid w:val="007615ED"/>
    <w:rsid w:val="00761AE5"/>
    <w:rsid w:val="00767554"/>
    <w:rsid w:val="007746C4"/>
    <w:rsid w:val="00780C5A"/>
    <w:rsid w:val="0078169B"/>
    <w:rsid w:val="00790888"/>
    <w:rsid w:val="00794334"/>
    <w:rsid w:val="007A04B4"/>
    <w:rsid w:val="007A11F0"/>
    <w:rsid w:val="007B0F54"/>
    <w:rsid w:val="007B2AE0"/>
    <w:rsid w:val="007B7338"/>
    <w:rsid w:val="007D35B2"/>
    <w:rsid w:val="007E666B"/>
    <w:rsid w:val="007F1941"/>
    <w:rsid w:val="007F79B4"/>
    <w:rsid w:val="007F7F0F"/>
    <w:rsid w:val="00805C15"/>
    <w:rsid w:val="008064B6"/>
    <w:rsid w:val="00807F36"/>
    <w:rsid w:val="008159BF"/>
    <w:rsid w:val="008162D2"/>
    <w:rsid w:val="008245B6"/>
    <w:rsid w:val="00826DEA"/>
    <w:rsid w:val="0084745D"/>
    <w:rsid w:val="0085097F"/>
    <w:rsid w:val="008526C4"/>
    <w:rsid w:val="008618A0"/>
    <w:rsid w:val="00862039"/>
    <w:rsid w:val="008816BC"/>
    <w:rsid w:val="008821A3"/>
    <w:rsid w:val="00892859"/>
    <w:rsid w:val="00895ECA"/>
    <w:rsid w:val="0089756F"/>
    <w:rsid w:val="008A0114"/>
    <w:rsid w:val="008A3EA5"/>
    <w:rsid w:val="008A44BC"/>
    <w:rsid w:val="008B0E04"/>
    <w:rsid w:val="008B6819"/>
    <w:rsid w:val="008C020A"/>
    <w:rsid w:val="008C3EC6"/>
    <w:rsid w:val="008C4987"/>
    <w:rsid w:val="008D047F"/>
    <w:rsid w:val="008D1D35"/>
    <w:rsid w:val="00901E65"/>
    <w:rsid w:val="00907E95"/>
    <w:rsid w:val="00936F1F"/>
    <w:rsid w:val="00951F29"/>
    <w:rsid w:val="009527BB"/>
    <w:rsid w:val="00952B6B"/>
    <w:rsid w:val="00955580"/>
    <w:rsid w:val="00964BF7"/>
    <w:rsid w:val="00967609"/>
    <w:rsid w:val="00967D5F"/>
    <w:rsid w:val="009704C7"/>
    <w:rsid w:val="00974D94"/>
    <w:rsid w:val="00980B38"/>
    <w:rsid w:val="00980F7F"/>
    <w:rsid w:val="00983473"/>
    <w:rsid w:val="00995642"/>
    <w:rsid w:val="00995CB3"/>
    <w:rsid w:val="00995E06"/>
    <w:rsid w:val="00996888"/>
    <w:rsid w:val="009A3EEA"/>
    <w:rsid w:val="009A71B7"/>
    <w:rsid w:val="009B0062"/>
    <w:rsid w:val="009D51E6"/>
    <w:rsid w:val="009E27CD"/>
    <w:rsid w:val="009F0014"/>
    <w:rsid w:val="00A0118B"/>
    <w:rsid w:val="00A177E7"/>
    <w:rsid w:val="00A27B18"/>
    <w:rsid w:val="00A324B4"/>
    <w:rsid w:val="00A3282A"/>
    <w:rsid w:val="00A3393B"/>
    <w:rsid w:val="00A3634B"/>
    <w:rsid w:val="00A42D1D"/>
    <w:rsid w:val="00A74773"/>
    <w:rsid w:val="00A80C95"/>
    <w:rsid w:val="00A845C7"/>
    <w:rsid w:val="00A90D82"/>
    <w:rsid w:val="00AA0A3A"/>
    <w:rsid w:val="00AB0B70"/>
    <w:rsid w:val="00AB36B3"/>
    <w:rsid w:val="00AC2335"/>
    <w:rsid w:val="00AC7A5C"/>
    <w:rsid w:val="00AD1EE4"/>
    <w:rsid w:val="00AD3009"/>
    <w:rsid w:val="00AD6F0A"/>
    <w:rsid w:val="00AE2371"/>
    <w:rsid w:val="00AE2AE2"/>
    <w:rsid w:val="00AF088E"/>
    <w:rsid w:val="00AF1ED4"/>
    <w:rsid w:val="00AF4AB9"/>
    <w:rsid w:val="00B00B3E"/>
    <w:rsid w:val="00B03E03"/>
    <w:rsid w:val="00B0648E"/>
    <w:rsid w:val="00B14A12"/>
    <w:rsid w:val="00B15B28"/>
    <w:rsid w:val="00B1603A"/>
    <w:rsid w:val="00B176D0"/>
    <w:rsid w:val="00B20874"/>
    <w:rsid w:val="00B2576B"/>
    <w:rsid w:val="00B44391"/>
    <w:rsid w:val="00B5412B"/>
    <w:rsid w:val="00B57D5F"/>
    <w:rsid w:val="00B65B7B"/>
    <w:rsid w:val="00B6730C"/>
    <w:rsid w:val="00B751D7"/>
    <w:rsid w:val="00B75FC0"/>
    <w:rsid w:val="00B810DB"/>
    <w:rsid w:val="00B83576"/>
    <w:rsid w:val="00B8630A"/>
    <w:rsid w:val="00B8705E"/>
    <w:rsid w:val="00B92535"/>
    <w:rsid w:val="00BB2DB4"/>
    <w:rsid w:val="00BC65CE"/>
    <w:rsid w:val="00BD38EE"/>
    <w:rsid w:val="00BE1D35"/>
    <w:rsid w:val="00BE59D0"/>
    <w:rsid w:val="00BE6694"/>
    <w:rsid w:val="00C02414"/>
    <w:rsid w:val="00C04A88"/>
    <w:rsid w:val="00C11867"/>
    <w:rsid w:val="00C1426E"/>
    <w:rsid w:val="00C21547"/>
    <w:rsid w:val="00C25B14"/>
    <w:rsid w:val="00C3164F"/>
    <w:rsid w:val="00C335AD"/>
    <w:rsid w:val="00C37F3C"/>
    <w:rsid w:val="00C401D2"/>
    <w:rsid w:val="00C45364"/>
    <w:rsid w:val="00C45DB1"/>
    <w:rsid w:val="00C53273"/>
    <w:rsid w:val="00C57062"/>
    <w:rsid w:val="00C604E1"/>
    <w:rsid w:val="00C65F14"/>
    <w:rsid w:val="00C66C89"/>
    <w:rsid w:val="00C86F1F"/>
    <w:rsid w:val="00C87E6F"/>
    <w:rsid w:val="00C93932"/>
    <w:rsid w:val="00C93B1C"/>
    <w:rsid w:val="00C95850"/>
    <w:rsid w:val="00C96003"/>
    <w:rsid w:val="00CA4125"/>
    <w:rsid w:val="00CA4642"/>
    <w:rsid w:val="00CB2DAC"/>
    <w:rsid w:val="00CB46BF"/>
    <w:rsid w:val="00CD1A3F"/>
    <w:rsid w:val="00CD7530"/>
    <w:rsid w:val="00CE63E6"/>
    <w:rsid w:val="00CF4990"/>
    <w:rsid w:val="00D02867"/>
    <w:rsid w:val="00D07447"/>
    <w:rsid w:val="00D140BE"/>
    <w:rsid w:val="00D1526A"/>
    <w:rsid w:val="00D205B6"/>
    <w:rsid w:val="00D31B0B"/>
    <w:rsid w:val="00D3599B"/>
    <w:rsid w:val="00D37A9F"/>
    <w:rsid w:val="00D40B79"/>
    <w:rsid w:val="00D434AF"/>
    <w:rsid w:val="00D52484"/>
    <w:rsid w:val="00D57788"/>
    <w:rsid w:val="00D66700"/>
    <w:rsid w:val="00D74887"/>
    <w:rsid w:val="00D90731"/>
    <w:rsid w:val="00D90E69"/>
    <w:rsid w:val="00D93FCF"/>
    <w:rsid w:val="00DA406D"/>
    <w:rsid w:val="00DA708C"/>
    <w:rsid w:val="00DB0D4E"/>
    <w:rsid w:val="00DB1B85"/>
    <w:rsid w:val="00DB7EB6"/>
    <w:rsid w:val="00DB7F68"/>
    <w:rsid w:val="00DD212E"/>
    <w:rsid w:val="00DD22AB"/>
    <w:rsid w:val="00DD3E4C"/>
    <w:rsid w:val="00DE06CA"/>
    <w:rsid w:val="00DF5379"/>
    <w:rsid w:val="00E019C0"/>
    <w:rsid w:val="00E07718"/>
    <w:rsid w:val="00E10BB4"/>
    <w:rsid w:val="00E16BB5"/>
    <w:rsid w:val="00E22A97"/>
    <w:rsid w:val="00E24806"/>
    <w:rsid w:val="00E32E78"/>
    <w:rsid w:val="00E42F0A"/>
    <w:rsid w:val="00E513EF"/>
    <w:rsid w:val="00E53A32"/>
    <w:rsid w:val="00E54476"/>
    <w:rsid w:val="00E6037B"/>
    <w:rsid w:val="00E616D7"/>
    <w:rsid w:val="00E65729"/>
    <w:rsid w:val="00E667C5"/>
    <w:rsid w:val="00E707EF"/>
    <w:rsid w:val="00E82735"/>
    <w:rsid w:val="00E9130D"/>
    <w:rsid w:val="00E94FC8"/>
    <w:rsid w:val="00E96A9B"/>
    <w:rsid w:val="00E96DA3"/>
    <w:rsid w:val="00E9730D"/>
    <w:rsid w:val="00EA2C16"/>
    <w:rsid w:val="00EB5AB3"/>
    <w:rsid w:val="00EC611A"/>
    <w:rsid w:val="00EC6537"/>
    <w:rsid w:val="00EF072A"/>
    <w:rsid w:val="00F05247"/>
    <w:rsid w:val="00F05C3C"/>
    <w:rsid w:val="00F13BAF"/>
    <w:rsid w:val="00F13DC2"/>
    <w:rsid w:val="00F155C8"/>
    <w:rsid w:val="00F24C35"/>
    <w:rsid w:val="00F24EE7"/>
    <w:rsid w:val="00F27641"/>
    <w:rsid w:val="00F310E4"/>
    <w:rsid w:val="00F4114D"/>
    <w:rsid w:val="00F4135C"/>
    <w:rsid w:val="00F53C65"/>
    <w:rsid w:val="00F658B0"/>
    <w:rsid w:val="00F84003"/>
    <w:rsid w:val="00F855E6"/>
    <w:rsid w:val="00F90E51"/>
    <w:rsid w:val="00F933C2"/>
    <w:rsid w:val="00F950D4"/>
    <w:rsid w:val="00FA1259"/>
    <w:rsid w:val="00FA27D8"/>
    <w:rsid w:val="00FB0384"/>
    <w:rsid w:val="00FB26C1"/>
    <w:rsid w:val="00FB3019"/>
    <w:rsid w:val="00FC2EB9"/>
    <w:rsid w:val="00FC395D"/>
    <w:rsid w:val="00FC5E41"/>
    <w:rsid w:val="00FE2BB7"/>
    <w:rsid w:val="00FF0259"/>
    <w:rsid w:val="00FF6B46"/>
    <w:rsid w:val="00FF7EAF"/>
    <w:rsid w:val="025B2710"/>
    <w:rsid w:val="02827873"/>
    <w:rsid w:val="05914609"/>
    <w:rsid w:val="05C338EF"/>
    <w:rsid w:val="077E4CEA"/>
    <w:rsid w:val="0E0430E8"/>
    <w:rsid w:val="0E375F8D"/>
    <w:rsid w:val="0FCE1504"/>
    <w:rsid w:val="12600E8E"/>
    <w:rsid w:val="12E844C8"/>
    <w:rsid w:val="13892B0A"/>
    <w:rsid w:val="159D10AA"/>
    <w:rsid w:val="17C87020"/>
    <w:rsid w:val="17D771D3"/>
    <w:rsid w:val="181E3EC5"/>
    <w:rsid w:val="195373FB"/>
    <w:rsid w:val="1A2F76ED"/>
    <w:rsid w:val="1A9F3BDE"/>
    <w:rsid w:val="1C775913"/>
    <w:rsid w:val="1ECF798C"/>
    <w:rsid w:val="1F774C81"/>
    <w:rsid w:val="211D3172"/>
    <w:rsid w:val="21383636"/>
    <w:rsid w:val="22071681"/>
    <w:rsid w:val="22C65C55"/>
    <w:rsid w:val="2508646D"/>
    <w:rsid w:val="26C57119"/>
    <w:rsid w:val="26CC66A5"/>
    <w:rsid w:val="27F0379A"/>
    <w:rsid w:val="293103A8"/>
    <w:rsid w:val="295D6EAA"/>
    <w:rsid w:val="29B40743"/>
    <w:rsid w:val="2B26678B"/>
    <w:rsid w:val="2D6A6ADA"/>
    <w:rsid w:val="2DF35635"/>
    <w:rsid w:val="2F8C3609"/>
    <w:rsid w:val="30E239DF"/>
    <w:rsid w:val="31975708"/>
    <w:rsid w:val="32CF651D"/>
    <w:rsid w:val="338F0199"/>
    <w:rsid w:val="33934B05"/>
    <w:rsid w:val="345D721B"/>
    <w:rsid w:val="372666B1"/>
    <w:rsid w:val="37AE060B"/>
    <w:rsid w:val="3B3954BF"/>
    <w:rsid w:val="3B4B3F28"/>
    <w:rsid w:val="43854947"/>
    <w:rsid w:val="43F517B3"/>
    <w:rsid w:val="44BE647B"/>
    <w:rsid w:val="44CD3C4B"/>
    <w:rsid w:val="451F4B74"/>
    <w:rsid w:val="45904D74"/>
    <w:rsid w:val="45E265CC"/>
    <w:rsid w:val="46083B36"/>
    <w:rsid w:val="46A216FC"/>
    <w:rsid w:val="46A82F80"/>
    <w:rsid w:val="48595198"/>
    <w:rsid w:val="48647105"/>
    <w:rsid w:val="48A14F86"/>
    <w:rsid w:val="4D041D04"/>
    <w:rsid w:val="4DF37CE1"/>
    <w:rsid w:val="4FCB0182"/>
    <w:rsid w:val="525A131B"/>
    <w:rsid w:val="53202EC0"/>
    <w:rsid w:val="532B3B45"/>
    <w:rsid w:val="533B3C6E"/>
    <w:rsid w:val="534E6402"/>
    <w:rsid w:val="54F46DC6"/>
    <w:rsid w:val="58A30BCF"/>
    <w:rsid w:val="58F051B0"/>
    <w:rsid w:val="59564AD1"/>
    <w:rsid w:val="5A48722B"/>
    <w:rsid w:val="5AFB2A5C"/>
    <w:rsid w:val="5B34740E"/>
    <w:rsid w:val="5C7F043D"/>
    <w:rsid w:val="5CD27E25"/>
    <w:rsid w:val="5D68370A"/>
    <w:rsid w:val="5ED06726"/>
    <w:rsid w:val="60895E82"/>
    <w:rsid w:val="61BE0775"/>
    <w:rsid w:val="63025BEE"/>
    <w:rsid w:val="63676333"/>
    <w:rsid w:val="63F449BD"/>
    <w:rsid w:val="67806F5E"/>
    <w:rsid w:val="678B2354"/>
    <w:rsid w:val="6797284A"/>
    <w:rsid w:val="67C95E9D"/>
    <w:rsid w:val="67E81FA7"/>
    <w:rsid w:val="68504104"/>
    <w:rsid w:val="69C8355C"/>
    <w:rsid w:val="6B0F7EAC"/>
    <w:rsid w:val="6D3862F4"/>
    <w:rsid w:val="6D824046"/>
    <w:rsid w:val="6E5351DE"/>
    <w:rsid w:val="6F27532C"/>
    <w:rsid w:val="70394E1F"/>
    <w:rsid w:val="705D7F1E"/>
    <w:rsid w:val="72A54BF3"/>
    <w:rsid w:val="74EE4B1C"/>
    <w:rsid w:val="758251E5"/>
    <w:rsid w:val="758D17F0"/>
    <w:rsid w:val="76260C92"/>
    <w:rsid w:val="77803844"/>
    <w:rsid w:val="77CD3E6F"/>
    <w:rsid w:val="78645806"/>
    <w:rsid w:val="78C62EF2"/>
    <w:rsid w:val="79DB2756"/>
    <w:rsid w:val="7AAA5AF2"/>
    <w:rsid w:val="7B4C2FB4"/>
    <w:rsid w:val="DFD86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9"/>
    <w:unhideWhenUsed/>
    <w:qFormat/>
    <w:uiPriority w:val="99"/>
    <w:pPr>
      <w:ind w:left="100" w:leftChars="2500"/>
    </w:p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Emphasis"/>
    <w:basedOn w:val="9"/>
    <w:qFormat/>
    <w:uiPriority w:val="20"/>
    <w:rPr>
      <w:i/>
      <w:iCs/>
    </w:rPr>
  </w:style>
  <w:style w:type="character" w:styleId="11">
    <w:name w:val="Hyperlink"/>
    <w:basedOn w:val="9"/>
    <w:unhideWhenUsed/>
    <w:qFormat/>
    <w:uiPriority w:val="99"/>
    <w:rPr>
      <w:color w:val="0000FF"/>
      <w:u w:val="single"/>
    </w:r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paragraph" w:customStyle="1" w:styleId="15">
    <w:name w:val="List Paragraph"/>
    <w:basedOn w:val="1"/>
    <w:qFormat/>
    <w:uiPriority w:val="34"/>
    <w:pPr>
      <w:ind w:firstLine="420" w:firstLineChars="200"/>
    </w:pPr>
    <w:rPr>
      <w:rFonts w:asciiTheme="minorHAnsi" w:hAnsiTheme="minorHAnsi" w:eastAsiaTheme="minorEastAsia" w:cstheme="minorBidi"/>
    </w:rPr>
  </w:style>
  <w:style w:type="character" w:customStyle="1" w:styleId="16">
    <w:name w:val="批注框文本 Char"/>
    <w:basedOn w:val="9"/>
    <w:link w:val="4"/>
    <w:semiHidden/>
    <w:qFormat/>
    <w:uiPriority w:val="99"/>
    <w:rPr>
      <w:rFonts w:ascii="Calibri" w:hAnsi="Calibri" w:eastAsia="宋体" w:cs="Times New Roman"/>
      <w:sz w:val="18"/>
      <w:szCs w:val="18"/>
    </w:rPr>
  </w:style>
  <w:style w:type="character" w:customStyle="1" w:styleId="17">
    <w:name w:val="标题 1 Char"/>
    <w:basedOn w:val="9"/>
    <w:link w:val="2"/>
    <w:qFormat/>
    <w:uiPriority w:val="9"/>
    <w:rPr>
      <w:rFonts w:ascii="宋体" w:hAnsi="宋体" w:eastAsia="宋体" w:cs="宋体"/>
      <w:b/>
      <w:bCs/>
      <w:kern w:val="36"/>
      <w:sz w:val="48"/>
      <w:szCs w:val="48"/>
    </w:rPr>
  </w:style>
  <w:style w:type="character" w:customStyle="1" w:styleId="18">
    <w:name w:val="HTML 预设格式 Char"/>
    <w:basedOn w:val="9"/>
    <w:link w:val="7"/>
    <w:qFormat/>
    <w:uiPriority w:val="99"/>
    <w:rPr>
      <w:rFonts w:ascii="宋体" w:hAnsi="宋体" w:eastAsia="宋体" w:cs="宋体"/>
      <w:kern w:val="0"/>
      <w:sz w:val="24"/>
      <w:szCs w:val="24"/>
    </w:rPr>
  </w:style>
  <w:style w:type="character" w:customStyle="1" w:styleId="19">
    <w:name w:val="日期 Char"/>
    <w:basedOn w:val="9"/>
    <w:link w:val="3"/>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391</Words>
  <Characters>483</Characters>
  <Lines>3</Lines>
  <Paragraphs>1</Paragraphs>
  <TotalTime>0</TotalTime>
  <ScaleCrop>false</ScaleCrop>
  <LinksUpToDate>false</LinksUpToDate>
  <CharactersWithSpaces>483</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2020-11-27T10:50:00Z</dcterms:created>
  <dc:creator>严兴成</dc:creator>
  <cp:lastModifiedBy>mac0922</cp:lastModifiedBy>
  <cp:lastPrinted>2022-07-13T09:53:00Z</cp:lastPrinted>
  <dcterms:modified xsi:type="dcterms:W3CDTF">2022-08-23T14:45:49Z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y fmtid="{D5CDD505-2E9C-101B-9397-08002B2CF9AE}" pid="3" name="ICV">
    <vt:lpwstr>7B615759C5C4433FACC37E63E4B0D1F1</vt:lpwstr>
  </property>
</Properties>
</file>