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5"/>
          <w:b/>
          <w:bCs/>
          <w:color w:val="000000"/>
          <w:sz w:val="36"/>
          <w:szCs w:val="36"/>
        </w:rPr>
      </w:pPr>
      <w:bookmarkStart w:id="0" w:name="_Toc137477462"/>
      <w:r>
        <w:rPr>
          <w:rStyle w:val="5"/>
          <w:b/>
          <w:bCs/>
          <w:color w:val="000000"/>
          <w:sz w:val="36"/>
          <w:szCs w:val="36"/>
        </w:rPr>
        <w:t>浙江大学医学院</w:t>
      </w:r>
      <w:r>
        <w:t>奖</w:t>
      </w:r>
      <w:r>
        <w:rPr>
          <w:rStyle w:val="5"/>
          <w:b/>
          <w:bCs/>
          <w:color w:val="000000"/>
          <w:sz w:val="36"/>
          <w:szCs w:val="36"/>
        </w:rPr>
        <w:t>公示信息表</w:t>
      </w:r>
      <w:bookmarkEnd w:id="0"/>
    </w:p>
    <w:p>
      <w:pPr>
        <w:spacing w:line="440" w:lineRule="exact"/>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t xml:space="preserve">提名奖项： </w:t>
      </w:r>
    </w:p>
    <w:tbl>
      <w:tblPr>
        <w:tblStyle w:val="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5"/>
                <w:rFonts w:ascii="宋体" w:hAnsi="宋体"/>
                <w:b w:val="0"/>
                <w:color w:val="000000"/>
                <w:sz w:val="28"/>
                <w:szCs w:val="28"/>
              </w:rPr>
            </w:pPr>
            <w:r>
              <w:rPr>
                <w:rStyle w:val="5"/>
                <w:rFonts w:ascii="宋体" w:hAnsi="宋体"/>
                <w:b w:val="0"/>
                <w:bCs w:val="0"/>
                <w:color w:val="000000"/>
                <w:sz w:val="28"/>
                <w:szCs w:val="28"/>
              </w:rPr>
              <w:t>成果名称</w:t>
            </w:r>
          </w:p>
        </w:tc>
        <w:tc>
          <w:tcPr>
            <w:tcW w:w="6237" w:type="dxa"/>
            <w:vAlign w:val="center"/>
          </w:tcPr>
          <w:p>
            <w:pPr>
              <w:jc w:val="center"/>
              <w:rPr>
                <w:rStyle w:val="5"/>
                <w:rFonts w:ascii="宋体" w:hAnsi="宋体"/>
                <w:b w:val="0"/>
                <w:color w:val="000000"/>
                <w:sz w:val="28"/>
                <w:szCs w:val="28"/>
              </w:rPr>
            </w:pPr>
            <w:r>
              <w:rPr>
                <w:rStyle w:val="5"/>
                <w:rFonts w:hint="eastAsia" w:ascii="宋体" w:hAnsi="宋体"/>
                <w:b w:val="0"/>
                <w:color w:val="000000"/>
                <w:sz w:val="28"/>
                <w:szCs w:val="28"/>
              </w:rPr>
              <w:t>肿瘤微环境免疫识别与应答机制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5"/>
                <w:rFonts w:ascii="宋体" w:hAnsi="宋体"/>
                <w:b w:val="0"/>
                <w:color w:val="000000"/>
                <w:sz w:val="28"/>
                <w:szCs w:val="28"/>
              </w:rPr>
            </w:pPr>
            <w:r>
              <w:rPr>
                <w:rStyle w:val="5"/>
                <w:rFonts w:ascii="宋体" w:hAnsi="宋体"/>
                <w:b w:val="0"/>
                <w:bCs w:val="0"/>
                <w:color w:val="000000"/>
                <w:sz w:val="28"/>
                <w:szCs w:val="28"/>
              </w:rPr>
              <w:t>提名</w:t>
            </w:r>
            <w:r>
              <w:rPr>
                <w:rStyle w:val="5"/>
                <w:rFonts w:hint="eastAsia" w:ascii="宋体" w:hAnsi="宋体"/>
                <w:b w:val="0"/>
                <w:bCs w:val="0"/>
                <w:color w:val="000000"/>
                <w:sz w:val="28"/>
                <w:szCs w:val="28"/>
              </w:rPr>
              <w:t>类型</w:t>
            </w:r>
          </w:p>
        </w:tc>
        <w:tc>
          <w:tcPr>
            <w:tcW w:w="6237" w:type="dxa"/>
            <w:vAlign w:val="center"/>
          </w:tcPr>
          <w:p>
            <w:pPr>
              <w:jc w:val="center"/>
              <w:rPr>
                <w:rStyle w:val="5"/>
                <w:rFonts w:ascii="宋体" w:hAnsi="宋体"/>
                <w:b w:val="0"/>
                <w:color w:val="000000"/>
                <w:sz w:val="28"/>
                <w:szCs w:val="28"/>
              </w:rPr>
            </w:pPr>
            <w:r>
              <w:rPr>
                <w:rFonts w:ascii="宋体" w:hAnsi="宋体"/>
                <w:color w:val="000000" w:themeColor="text1"/>
                <w:sz w:val="28"/>
                <w14:textFill>
                  <w14:solidFill>
                    <w14:schemeClr w14:val="tx1"/>
                  </w14:solidFill>
                </w14:textFill>
              </w:rPr>
              <w:t>基础研究创新奖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2269" w:type="dxa"/>
            <w:vAlign w:val="center"/>
          </w:tcPr>
          <w:p>
            <w:pPr>
              <w:spacing w:line="440" w:lineRule="exact"/>
              <w:jc w:val="center"/>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提名书</w:t>
            </w:r>
          </w:p>
          <w:p>
            <w:pPr>
              <w:spacing w:line="440" w:lineRule="exact"/>
              <w:jc w:val="center"/>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相关内容</w:t>
            </w:r>
          </w:p>
        </w:tc>
        <w:tc>
          <w:tcPr>
            <w:tcW w:w="6237" w:type="dxa"/>
            <w:vAlign w:val="center"/>
          </w:tcPr>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代表性论文（专著）目录:</w:t>
            </w:r>
          </w:p>
          <w:p>
            <w:pPr>
              <w:numPr>
                <w:ilvl w:val="0"/>
                <w:numId w:val="1"/>
              </w:numPr>
              <w:rPr>
                <w:sz w:val="24"/>
              </w:rPr>
            </w:pPr>
            <w:r>
              <w:rPr>
                <w:sz w:val="24"/>
              </w:rPr>
              <w:t>张靖莹</w:t>
            </w:r>
            <w:r>
              <w:rPr>
                <w:sz w:val="24"/>
                <w:vertAlign w:val="superscript"/>
              </w:rPr>
              <w:t>#</w:t>
            </w:r>
            <w:r>
              <w:rPr>
                <w:sz w:val="24"/>
              </w:rPr>
              <w:t>，章琦</w:t>
            </w:r>
            <w:r>
              <w:rPr>
                <w:sz w:val="24"/>
                <w:vertAlign w:val="superscript"/>
              </w:rPr>
              <w:t>#</w:t>
            </w:r>
            <w:r>
              <w:rPr>
                <w:sz w:val="24"/>
              </w:rPr>
              <w:t>，楼煜，傅琦涵，陈琦，魏涛，杨加琦，唐锦龙，王健鑫，陈怡文，张晓雨，张剑，白雪莉</w:t>
            </w:r>
            <w:r>
              <w:rPr>
                <w:sz w:val="24"/>
                <w:vertAlign w:val="superscript"/>
              </w:rPr>
              <w:t>*</w:t>
            </w:r>
            <w:r>
              <w:rPr>
                <w:sz w:val="24"/>
              </w:rPr>
              <w:t>，梁廷波</w:t>
            </w:r>
            <w:r>
              <w:rPr>
                <w:sz w:val="24"/>
                <w:vertAlign w:val="superscript"/>
              </w:rPr>
              <w:t>*</w:t>
            </w:r>
            <w:r>
              <w:rPr>
                <w:sz w:val="24"/>
              </w:rPr>
              <w:t>. HIF-1α/IL-1β signaling enhances hepatoma epithelial-mesenchymal transition via macrophages in a hypoxic-inflammatory microenvironment. Hepatology. 2018年67卷1872-1889页。</w:t>
            </w:r>
          </w:p>
          <w:p>
            <w:pPr>
              <w:numPr>
                <w:ilvl w:val="0"/>
                <w:numId w:val="1"/>
              </w:numPr>
              <w:rPr>
                <w:sz w:val="24"/>
              </w:rPr>
            </w:pPr>
            <w:r>
              <w:rPr>
                <w:sz w:val="24"/>
              </w:rPr>
              <w:t>章琦</w:t>
            </w:r>
            <w:r>
              <w:rPr>
                <w:sz w:val="24"/>
                <w:vertAlign w:val="superscript"/>
              </w:rPr>
              <w:t>#</w:t>
            </w:r>
            <w:r>
              <w:rPr>
                <w:sz w:val="24"/>
              </w:rPr>
              <w:t>，楼煜</w:t>
            </w:r>
            <w:r>
              <w:rPr>
                <w:sz w:val="24"/>
                <w:vertAlign w:val="superscript"/>
              </w:rPr>
              <w:t>#</w:t>
            </w:r>
            <w:r>
              <w:rPr>
                <w:sz w:val="24"/>
              </w:rPr>
              <w:t>，杨加琦</w:t>
            </w:r>
            <w:r>
              <w:rPr>
                <w:sz w:val="24"/>
                <w:vertAlign w:val="superscript"/>
              </w:rPr>
              <w:t>#</w:t>
            </w:r>
            <w:r>
              <w:rPr>
                <w:sz w:val="24"/>
              </w:rPr>
              <w:t>，王俊莉，冯洁，赵亚莉，王琳，黄星，傅琦涵，叶茅，章晓祯，陈怡文，马策，葛洪斌，王佳宁，吴将超，魏涛，陈琦，吴隽青，余成轩，肖彦宇，冯新华，郭国骥，梁廷波</w:t>
            </w:r>
            <w:r>
              <w:rPr>
                <w:sz w:val="24"/>
                <w:vertAlign w:val="superscript"/>
              </w:rPr>
              <w:t>*</w:t>
            </w:r>
            <w:r>
              <w:rPr>
                <w:sz w:val="24"/>
              </w:rPr>
              <w:t>，白雪莉</w:t>
            </w:r>
            <w:r>
              <w:rPr>
                <w:sz w:val="24"/>
                <w:vertAlign w:val="superscript"/>
              </w:rPr>
              <w:t>*</w:t>
            </w:r>
            <w:r>
              <w:rPr>
                <w:sz w:val="24"/>
              </w:rPr>
              <w:t>. Integrated multi-omic analysis reveals comprehensive tumor heterogeneity and novel immunophenotypic classification in hepatocellular carcinomas. Gut. 2019年68卷2019-2031页。</w:t>
            </w:r>
          </w:p>
          <w:p>
            <w:pPr>
              <w:numPr>
                <w:ilvl w:val="0"/>
                <w:numId w:val="1"/>
              </w:numPr>
              <w:rPr>
                <w:sz w:val="24"/>
              </w:rPr>
            </w:pPr>
            <w:r>
              <w:rPr>
                <w:sz w:val="24"/>
              </w:rPr>
              <w:t>陈莎莎</w:t>
            </w:r>
            <w:r>
              <w:rPr>
                <w:sz w:val="24"/>
                <w:vertAlign w:val="superscript"/>
              </w:rPr>
              <w:t>#</w:t>
            </w:r>
            <w:r>
              <w:rPr>
                <w:sz w:val="24"/>
              </w:rPr>
              <w:t>，刘盛铎</w:t>
            </w:r>
            <w:r>
              <w:rPr>
                <w:sz w:val="24"/>
                <w:vertAlign w:val="superscript"/>
              </w:rPr>
              <w:t>#</w:t>
            </w:r>
            <w:r>
              <w:rPr>
                <w:sz w:val="24"/>
              </w:rPr>
              <w:t>，王俊贤</w:t>
            </w:r>
            <w:r>
              <w:rPr>
                <w:sz w:val="24"/>
                <w:vertAlign w:val="superscript"/>
              </w:rPr>
              <w:t>#</w:t>
            </w:r>
            <w:r>
              <w:rPr>
                <w:sz w:val="24"/>
              </w:rPr>
              <w:t>，吴芑柔，王爱莲，关洪鑫，张倩，张丹，王晓健，宋海，秦骏，邹键，欧阳松应，冯新华，梁廷波，徐平龙</w:t>
            </w:r>
            <w:r>
              <w:rPr>
                <w:sz w:val="24"/>
                <w:vertAlign w:val="superscript"/>
              </w:rPr>
              <w:t>*</w:t>
            </w:r>
            <w:r>
              <w:rPr>
                <w:sz w:val="24"/>
              </w:rPr>
              <w:t>. TBK1-</w:t>
            </w:r>
            <w:r>
              <w:rPr>
                <w:rFonts w:hint="eastAsia"/>
                <w:sz w:val="24"/>
              </w:rPr>
              <w:t>m</w:t>
            </w:r>
            <w:r>
              <w:rPr>
                <w:sz w:val="24"/>
              </w:rPr>
              <w:t xml:space="preserve">ediated DRP1 targeting </w:t>
            </w:r>
            <w:r>
              <w:rPr>
                <w:rFonts w:hint="eastAsia"/>
                <w:sz w:val="24"/>
              </w:rPr>
              <w:t>c</w:t>
            </w:r>
            <w:r>
              <w:rPr>
                <w:sz w:val="24"/>
              </w:rPr>
              <w:t>onfers nucleic acid sensing to reprogram mitochondrial dynamics and physiology/Molecular Cell 2020年80卷810-827页。</w:t>
            </w:r>
          </w:p>
          <w:p>
            <w:pPr>
              <w:numPr>
                <w:ilvl w:val="0"/>
                <w:numId w:val="1"/>
              </w:numPr>
              <w:rPr>
                <w:sz w:val="24"/>
              </w:rPr>
            </w:pPr>
            <w:r>
              <w:rPr>
                <w:sz w:val="24"/>
              </w:rPr>
              <w:t>沈舒滢</w:t>
            </w:r>
            <w:r>
              <w:rPr>
                <w:sz w:val="24"/>
                <w:vertAlign w:val="superscript"/>
              </w:rPr>
              <w:t>#</w:t>
            </w:r>
            <w:r>
              <w:rPr>
                <w:sz w:val="24"/>
              </w:rPr>
              <w:t>，郭晓灿</w:t>
            </w:r>
            <w:r>
              <w:rPr>
                <w:sz w:val="24"/>
                <w:vertAlign w:val="superscript"/>
              </w:rPr>
              <w:t>#</w:t>
            </w:r>
            <w:r>
              <w:rPr>
                <w:sz w:val="24"/>
              </w:rPr>
              <w:t>，颜欢，卢怡, 吉新彦，郦莉，梁廷波，周大旺，冯新华，赵长胜，俞锦丹, 龚兴国，张雷，赵斌</w:t>
            </w:r>
            <w:r>
              <w:rPr>
                <w:sz w:val="24"/>
                <w:vertAlign w:val="superscript"/>
              </w:rPr>
              <w:t>*</w:t>
            </w:r>
            <w:r>
              <w:rPr>
                <w:sz w:val="24"/>
              </w:rPr>
              <w:t>. A miR-130a-YAP positive feedback loop promotes organ size and tumorigenesis. Cell Research. 2015年25卷997-1012页。</w:t>
            </w:r>
          </w:p>
          <w:p>
            <w:pPr>
              <w:numPr>
                <w:ilvl w:val="0"/>
                <w:numId w:val="1"/>
              </w:numPr>
              <w:rPr>
                <w:sz w:val="24"/>
              </w:rPr>
            </w:pPr>
            <w:r>
              <w:rPr>
                <w:sz w:val="24"/>
              </w:rPr>
              <w:t>吴世英</w:t>
            </w:r>
            <w:r>
              <w:rPr>
                <w:sz w:val="24"/>
                <w:vertAlign w:val="superscript"/>
              </w:rPr>
              <w:t>#</w:t>
            </w:r>
            <w:r>
              <w:rPr>
                <w:sz w:val="24"/>
              </w:rPr>
              <w:t>，张倩</w:t>
            </w:r>
            <w:r>
              <w:rPr>
                <w:sz w:val="24"/>
                <w:vertAlign w:val="superscript"/>
              </w:rPr>
              <w:t>#</w:t>
            </w:r>
            <w:r>
              <w:rPr>
                <w:sz w:val="24"/>
              </w:rPr>
              <w:t>，张飞</w:t>
            </w:r>
            <w:r>
              <w:rPr>
                <w:sz w:val="24"/>
                <w:vertAlign w:val="superscript"/>
              </w:rPr>
              <w:t>#</w:t>
            </w:r>
            <w:r>
              <w:rPr>
                <w:sz w:val="24"/>
              </w:rPr>
              <w:t>，孟凡森，刘盛铎，周如苑，吴庆哲，李欣然，沈立，黄俊，秦骏，欧阳松应，夏总平，宋海，冯新华，邹键，徐平龙</w:t>
            </w:r>
            <w:r>
              <w:rPr>
                <w:sz w:val="24"/>
                <w:vertAlign w:val="superscript"/>
              </w:rPr>
              <w:t>*</w:t>
            </w:r>
            <w:r>
              <w:rPr>
                <w:sz w:val="24"/>
              </w:rPr>
              <w:t>. HER2 recruits AKT1 to disrupt STING signalling and suppress antiviral defence and antitumour immunity. Nature Cell Biology. 2019年21卷1027-1040页。</w:t>
            </w:r>
          </w:p>
          <w:p>
            <w:pPr>
              <w:numPr>
                <w:ilvl w:val="0"/>
                <w:numId w:val="1"/>
              </w:numPr>
              <w:rPr>
                <w:sz w:val="24"/>
              </w:rPr>
            </w:pPr>
            <w:r>
              <w:rPr>
                <w:sz w:val="24"/>
              </w:rPr>
              <w:t>张倩</w:t>
            </w:r>
            <w:r>
              <w:rPr>
                <w:sz w:val="24"/>
                <w:vertAlign w:val="superscript"/>
              </w:rPr>
              <w:t>#</w:t>
            </w:r>
            <w:r>
              <w:rPr>
                <w:sz w:val="24"/>
              </w:rPr>
              <w:t>，孟凡森</w:t>
            </w:r>
            <w:r>
              <w:rPr>
                <w:sz w:val="24"/>
                <w:vertAlign w:val="superscript"/>
              </w:rPr>
              <w:t>#</w:t>
            </w:r>
            <w:r>
              <w:rPr>
                <w:sz w:val="24"/>
              </w:rPr>
              <w:t>，陈莎莎，Steven W. Plouffe，吴世英，刘盛铎，李欣然，周如苑，王俊贤，赵斌，刘建明，秦骏，邹键，冯新华，管坤良，徐平龙</w:t>
            </w:r>
            <w:r>
              <w:rPr>
                <w:sz w:val="24"/>
                <w:vertAlign w:val="superscript"/>
              </w:rPr>
              <w:t>*</w:t>
            </w:r>
            <w:r>
              <w:rPr>
                <w:sz w:val="24"/>
              </w:rPr>
              <w:t>. Hippo signalling governs cytosolic nucleic acid sensing through YAP/TAZ-mediated TBK1 blockade. Nature Cell Biology. 2017年19卷362–374页。</w:t>
            </w:r>
          </w:p>
          <w:p>
            <w:pPr>
              <w:numPr>
                <w:ilvl w:val="0"/>
                <w:numId w:val="1"/>
              </w:numPr>
              <w:rPr>
                <w:sz w:val="24"/>
              </w:rPr>
            </w:pPr>
            <w:r>
              <w:rPr>
                <w:sz w:val="24"/>
              </w:rPr>
              <w:t>郭晓灿</w:t>
            </w:r>
            <w:r>
              <w:rPr>
                <w:sz w:val="24"/>
                <w:vertAlign w:val="superscript"/>
              </w:rPr>
              <w:t>#</w:t>
            </w:r>
            <w:r>
              <w:rPr>
                <w:sz w:val="24"/>
              </w:rPr>
              <w:t>，赵杨，颜欢，杨应成，沈舒滢，代晓明，吉新彦，姬付博，龚兴国，郦莉, 白雪莉，冯新华，梁廷波，姬峻芳，陈磊，王红阳，赵斌</w:t>
            </w:r>
            <w:r>
              <w:rPr>
                <w:sz w:val="24"/>
                <w:vertAlign w:val="superscript"/>
              </w:rPr>
              <w:t>*</w:t>
            </w:r>
            <w:r>
              <w:rPr>
                <w:sz w:val="24"/>
              </w:rPr>
              <w:t>. Single tumor-initiating cells evade immune clearance by recruiting type II macrophages. Genes &amp; Development. 2017年31卷247-259页。</w:t>
            </w:r>
          </w:p>
          <w:p>
            <w:pPr>
              <w:numPr>
                <w:ilvl w:val="0"/>
                <w:numId w:val="1"/>
              </w:numPr>
              <w:rPr>
                <w:sz w:val="24"/>
              </w:rPr>
            </w:pPr>
            <w:r>
              <w:rPr>
                <w:sz w:val="24"/>
              </w:rPr>
              <w:t>叶龙云</w:t>
            </w:r>
            <w:r>
              <w:rPr>
                <w:sz w:val="24"/>
                <w:vertAlign w:val="superscript"/>
              </w:rPr>
              <w:t>#</w:t>
            </w:r>
            <w:r>
              <w:rPr>
                <w:sz w:val="24"/>
              </w:rPr>
              <w:t>，陈伟</w:t>
            </w:r>
            <w:r>
              <w:rPr>
                <w:sz w:val="24"/>
                <w:vertAlign w:val="superscript"/>
              </w:rPr>
              <w:t>#</w:t>
            </w:r>
            <w:r>
              <w:rPr>
                <w:sz w:val="24"/>
              </w:rPr>
              <w:t>，白雪莉</w:t>
            </w:r>
            <w:r>
              <w:rPr>
                <w:sz w:val="24"/>
                <w:vertAlign w:val="superscript"/>
              </w:rPr>
              <w:t>#</w:t>
            </w:r>
            <w:r>
              <w:rPr>
                <w:sz w:val="24"/>
              </w:rPr>
              <w:t>，徐兴远，章琦，夏雪峰，孙旭，李国刚，胡奇达，傅琦涵，梁廷波</w:t>
            </w:r>
            <w:r>
              <w:rPr>
                <w:sz w:val="24"/>
                <w:vertAlign w:val="superscript"/>
              </w:rPr>
              <w:t>*</w:t>
            </w:r>
            <w:r>
              <w:rPr>
                <w:sz w:val="24"/>
              </w:rPr>
              <w:t>. Hypoxia-induced epithelial-to-mesenchymal transition in hepatocellular carcinoma induces an immunosuppressive tumor microenvironment to promote metastasis. Cancer Research. 2016年76卷818-</w:t>
            </w:r>
            <w:r>
              <w:rPr>
                <w:rFonts w:hint="eastAsia"/>
                <w:sz w:val="24"/>
              </w:rPr>
              <w:t>8</w:t>
            </w:r>
            <w:r>
              <w:rPr>
                <w:sz w:val="24"/>
              </w:rPr>
              <w:t xml:space="preserve">30页。 </w:t>
            </w:r>
          </w:p>
          <w:p>
            <w:pPr>
              <w:tabs>
                <w:tab w:val="left" w:pos="312"/>
              </w:tabs>
              <w:jc w:val="left"/>
              <w:rPr>
                <w:sz w:val="24"/>
              </w:rPr>
            </w:pP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主要知识产权和标准规范目录:</w:t>
            </w:r>
          </w:p>
          <w:p>
            <w:pPr>
              <w:numPr>
                <w:ilvl w:val="0"/>
                <w:numId w:val="2"/>
              </w:numPr>
              <w:rPr>
                <w:sz w:val="24"/>
              </w:rPr>
            </w:pPr>
            <w:r>
              <w:rPr>
                <w:sz w:val="24"/>
              </w:rPr>
              <w:t>梁廷波、白雪莉、章琦、傅琦涵, 发明专利，外周血外泌体中Smad3蛋白作为分子标记的应用、肝癌检测试剂盒，ZL201810023545.2, 2019年8月6日。</w:t>
            </w:r>
          </w:p>
          <w:p>
            <w:pPr>
              <w:numPr>
                <w:ilvl w:val="0"/>
                <w:numId w:val="2"/>
              </w:numPr>
              <w:rPr>
                <w:sz w:val="24"/>
              </w:rPr>
            </w:pPr>
            <w:r>
              <w:rPr>
                <w:rFonts w:hint="eastAsia"/>
                <w:sz w:val="24"/>
              </w:rPr>
              <w:t>梁廷波，白雪莉，章琦，王俊莉，杨加琦</w:t>
            </w:r>
            <w:r>
              <w:rPr>
                <w:sz w:val="24"/>
              </w:rPr>
              <w:t>，发明专利，</w:t>
            </w:r>
            <w:r>
              <w:rPr>
                <w:rFonts w:hint="eastAsia"/>
                <w:sz w:val="24"/>
              </w:rPr>
              <w:t>一种多基因肝癌预后分级体系的建立方法及应用</w:t>
            </w:r>
            <w:r>
              <w:rPr>
                <w:sz w:val="24"/>
              </w:rPr>
              <w:t>，</w:t>
            </w:r>
            <w:r>
              <w:rPr>
                <w:rFonts w:hint="eastAsia"/>
                <w:sz w:val="24"/>
              </w:rPr>
              <w:t>ZL201911186167.0</w:t>
            </w:r>
            <w:r>
              <w:rPr>
                <w:sz w:val="24"/>
              </w:rPr>
              <w:t>，20</w:t>
            </w:r>
            <w:r>
              <w:rPr>
                <w:rFonts w:hint="eastAsia"/>
                <w:sz w:val="24"/>
              </w:rPr>
              <w:t>22</w:t>
            </w:r>
            <w:r>
              <w:rPr>
                <w:sz w:val="24"/>
              </w:rPr>
              <w:t>年</w:t>
            </w:r>
            <w:r>
              <w:rPr>
                <w:rFonts w:hint="eastAsia"/>
                <w:sz w:val="24"/>
              </w:rPr>
              <w:t>02</w:t>
            </w:r>
            <w:r>
              <w:rPr>
                <w:sz w:val="24"/>
              </w:rPr>
              <w:t>月</w:t>
            </w:r>
            <w:r>
              <w:rPr>
                <w:rFonts w:hint="eastAsia"/>
                <w:sz w:val="24"/>
              </w:rPr>
              <w:t>08</w:t>
            </w:r>
            <w:r>
              <w:rPr>
                <w:sz w:val="24"/>
              </w:rPr>
              <w:t>日。</w:t>
            </w:r>
          </w:p>
          <w:p>
            <w:pPr>
              <w:numPr>
                <w:ilvl w:val="0"/>
                <w:numId w:val="2"/>
              </w:numPr>
              <w:rPr>
                <w:sz w:val="24"/>
              </w:rPr>
            </w:pPr>
            <w:r>
              <w:rPr>
                <w:sz w:val="24"/>
              </w:rPr>
              <w:t>赵斌、沈舒滢、郭晓灿、颜欢、吉新彦，发明专利，miR-130反义核酸及其衍生物在Hippo-YAP信号通路抑制中的应用，ZL201510416936.7，2019年12月17日。</w:t>
            </w:r>
          </w:p>
          <w:p>
            <w:pPr>
              <w:numPr>
                <w:ilvl w:val="0"/>
                <w:numId w:val="2"/>
              </w:numPr>
              <w:rPr>
                <w:sz w:val="24"/>
              </w:rPr>
            </w:pPr>
            <w:r>
              <w:rPr>
                <w:sz w:val="24"/>
              </w:rPr>
              <w:t>梁廷波、白雪莉、章琦、楼煜、叶茅，发明专利，一种用于检测癌症化疗敏感性的血浆蛋白分子、应用及试剂盒，ZL201910924077.0，2021年07月06日。</w:t>
            </w:r>
          </w:p>
          <w:p>
            <w:pPr>
              <w:numPr>
                <w:ilvl w:val="0"/>
                <w:numId w:val="2"/>
              </w:numPr>
              <w:rPr>
                <w:sz w:val="24"/>
              </w:rPr>
            </w:pPr>
            <w:r>
              <w:rPr>
                <w:rFonts w:hint="eastAsia"/>
                <w:sz w:val="24"/>
              </w:rPr>
              <w:t>盛剑鹏，张俊磊，白雪莉，梁廷波，以CSF1R作为药物靶点治疗肿瘤的药剂及其制备方法，ZL201911075767.X，2022年02月11日。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主要完成人</w:t>
            </w:r>
          </w:p>
        </w:tc>
        <w:tc>
          <w:tcPr>
            <w:tcW w:w="6237" w:type="dxa"/>
            <w:tcBorders>
              <w:left w:val="single" w:color="auto" w:sz="4" w:space="0"/>
            </w:tcBorders>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梁廷波，排名1，教授/主任医师，浙江大学医学院附属第一医院；</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白雪莉，排名2，教授/主任医师，浙江大学医学院附属第一医院；</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徐平龙，排名3，教授，浙江大学生命科学研究院；</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赵斌，排名4，教授，浙江大学生命科学研究院；</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章琦，排名5，副教授/副主任医师，浙江大学医学院附属第一医院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主要完成单位</w:t>
            </w:r>
          </w:p>
        </w:tc>
        <w:tc>
          <w:tcPr>
            <w:tcW w:w="6237" w:type="dxa"/>
            <w:tcBorders>
              <w:left w:val="single" w:color="auto" w:sz="4" w:space="0"/>
            </w:tcBorders>
            <w:vAlign w:val="center"/>
          </w:tcPr>
          <w:p>
            <w:pPr>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浙江大学医学院附属第一医院</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浙江大学生命科学研究院</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5"/>
                <w:rFonts w:ascii="宋体" w:hAnsi="宋体"/>
                <w:b w:val="0"/>
                <w:color w:val="000000"/>
                <w:sz w:val="28"/>
                <w:szCs w:val="28"/>
              </w:rPr>
            </w:pPr>
            <w:r>
              <w:rPr>
                <w:rStyle w:val="5"/>
                <w:rFonts w:ascii="宋体" w:hAnsi="宋体"/>
                <w:b w:val="0"/>
                <w:color w:val="000000"/>
                <w:sz w:val="28"/>
                <w:szCs w:val="28"/>
              </w:rPr>
              <w:t>提名单位</w:t>
            </w:r>
          </w:p>
          <w:p>
            <w:pPr>
              <w:jc w:val="center"/>
              <w:rPr>
                <w:rStyle w:val="5"/>
                <w:rFonts w:ascii="宋体" w:hAnsi="宋体"/>
                <w:b w:val="0"/>
                <w:color w:val="000000"/>
                <w:sz w:val="28"/>
                <w:szCs w:val="28"/>
              </w:rPr>
            </w:pPr>
            <w:r>
              <w:rPr>
                <w:rStyle w:val="5"/>
                <w:rFonts w:hint="eastAsia" w:ascii="宋体" w:hAnsi="宋体"/>
                <w:b w:val="0"/>
                <w:color w:val="000000"/>
                <w:sz w:val="28"/>
                <w:szCs w:val="28"/>
              </w:rPr>
              <w:t>或提名专家</w:t>
            </w:r>
          </w:p>
        </w:tc>
        <w:tc>
          <w:tcPr>
            <w:tcW w:w="6237" w:type="dxa"/>
            <w:vAlign w:val="center"/>
          </w:tcPr>
          <w:p>
            <w:pPr>
              <w:rPr>
                <w:rStyle w:val="5"/>
                <w:b w:val="0"/>
                <w:color w:val="000000"/>
              </w:rPr>
            </w:pPr>
            <w:r>
              <w:rPr>
                <w:bCs/>
                <w:color w:val="000000" w:themeColor="text1"/>
                <w:sz w:val="24"/>
                <w14:textFill>
                  <w14:solidFill>
                    <w14:schemeClr w14:val="tx1"/>
                  </w14:solidFill>
                </w14:textFill>
              </w:rPr>
              <w:t>浙江大学医学院附属第一医院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2269" w:type="dxa"/>
            <w:vAlign w:val="center"/>
          </w:tcPr>
          <w:p>
            <w:pPr>
              <w:jc w:val="center"/>
              <w:rPr>
                <w:rStyle w:val="5"/>
                <w:rFonts w:ascii="宋体" w:hAnsi="宋体"/>
                <w:b w:val="0"/>
                <w:color w:val="000000"/>
                <w:sz w:val="28"/>
                <w:szCs w:val="28"/>
              </w:rPr>
            </w:pPr>
            <w:r>
              <w:rPr>
                <w:rStyle w:val="5"/>
                <w:rFonts w:ascii="宋体" w:hAnsi="宋体"/>
                <w:b w:val="0"/>
                <w:color w:val="000000"/>
                <w:sz w:val="28"/>
                <w:szCs w:val="28"/>
              </w:rPr>
              <w:t>提名意见</w:t>
            </w:r>
          </w:p>
        </w:tc>
        <w:tc>
          <w:tcPr>
            <w:tcW w:w="6237" w:type="dxa"/>
            <w:vAlign w:val="center"/>
          </w:tcPr>
          <w:p>
            <w:pPr>
              <w:ind w:firstLine="480" w:firstLineChars="200"/>
              <w:contextualSpacing/>
              <w:rPr>
                <w:rStyle w:val="5"/>
                <w:b w:val="0"/>
                <w:color w:val="000000"/>
              </w:rPr>
            </w:pPr>
            <w:r>
              <w:rPr>
                <w:rStyle w:val="5"/>
                <w:b w:val="0"/>
                <w:color w:val="000000"/>
              </w:rPr>
              <w:t>完成人</w:t>
            </w:r>
            <w:r>
              <w:rPr>
                <w:rStyle w:val="5"/>
                <w:rFonts w:hint="eastAsia"/>
                <w:b w:val="0"/>
                <w:color w:val="000000"/>
              </w:rPr>
              <w:t>瞄准肿瘤演进过程中的复杂免疫调控问题，以肝细胞癌为主要模型，从肿瘤细胞与免疫细胞互作角度系统回答了肿瘤微环境的免疫识别与应答机制，</w:t>
            </w:r>
            <w:r>
              <w:rPr>
                <w:rStyle w:val="5"/>
                <w:b w:val="0"/>
                <w:color w:val="000000"/>
              </w:rPr>
              <w:t>揭示了</w:t>
            </w:r>
            <w:r>
              <w:rPr>
                <w:rStyle w:val="5"/>
                <w:rFonts w:hint="eastAsia"/>
                <w:b w:val="0"/>
                <w:color w:val="000000"/>
              </w:rPr>
              <w:t>cGAS</w:t>
            </w:r>
            <w:r>
              <w:rPr>
                <w:rStyle w:val="5"/>
                <w:b w:val="0"/>
                <w:color w:val="000000"/>
              </w:rPr>
              <w:t>-</w:t>
            </w:r>
            <w:r>
              <w:rPr>
                <w:rStyle w:val="5"/>
                <w:rFonts w:hint="eastAsia"/>
                <w:b w:val="0"/>
                <w:color w:val="000000"/>
              </w:rPr>
              <w:t>STING信号、</w:t>
            </w:r>
            <w:r>
              <w:rPr>
                <w:rStyle w:val="5"/>
                <w:b w:val="0"/>
                <w:color w:val="000000"/>
              </w:rPr>
              <w:t>Hippo-YAP信号</w:t>
            </w:r>
            <w:r>
              <w:rPr>
                <w:rStyle w:val="5"/>
                <w:rFonts w:hint="eastAsia"/>
                <w:b w:val="0"/>
                <w:color w:val="000000"/>
              </w:rPr>
              <w:t>、</w:t>
            </w:r>
            <w:r>
              <w:rPr>
                <w:rStyle w:val="5"/>
                <w:b w:val="0"/>
                <w:color w:val="000000"/>
              </w:rPr>
              <w:t>低氧-坏死-炎症</w:t>
            </w:r>
            <w:r>
              <w:rPr>
                <w:rStyle w:val="5"/>
                <w:rFonts w:hint="eastAsia"/>
                <w:b w:val="0"/>
                <w:color w:val="000000"/>
              </w:rPr>
              <w:t>信号等</w:t>
            </w:r>
            <w:r>
              <w:rPr>
                <w:rStyle w:val="5"/>
                <w:b w:val="0"/>
                <w:color w:val="000000"/>
              </w:rPr>
              <w:t>介导的</w:t>
            </w:r>
            <w:r>
              <w:rPr>
                <w:rStyle w:val="5"/>
                <w:rFonts w:hint="eastAsia"/>
                <w:b w:val="0"/>
                <w:color w:val="000000"/>
              </w:rPr>
              <w:t>肿瘤</w:t>
            </w:r>
            <w:r>
              <w:rPr>
                <w:rStyle w:val="5"/>
                <w:b w:val="0"/>
                <w:color w:val="000000"/>
              </w:rPr>
              <w:t>免疫逃逸新机制，极大地丰富了</w:t>
            </w:r>
            <w:r>
              <w:rPr>
                <w:rStyle w:val="5"/>
                <w:rFonts w:hint="eastAsia"/>
                <w:b w:val="0"/>
                <w:color w:val="000000"/>
              </w:rPr>
              <w:t>肿瘤微环境</w:t>
            </w:r>
            <w:r>
              <w:rPr>
                <w:rStyle w:val="5"/>
                <w:b w:val="0"/>
                <w:color w:val="000000"/>
              </w:rPr>
              <w:t>免疫</w:t>
            </w:r>
            <w:r>
              <w:rPr>
                <w:rStyle w:val="5"/>
                <w:rFonts w:hint="eastAsia"/>
                <w:b w:val="0"/>
                <w:color w:val="000000"/>
              </w:rPr>
              <w:t>调控信号网络</w:t>
            </w:r>
            <w:r>
              <w:rPr>
                <w:rStyle w:val="5"/>
                <w:b w:val="0"/>
                <w:color w:val="000000"/>
              </w:rPr>
              <w:t>理论，提出了若干干预新策略，为</w:t>
            </w:r>
            <w:r>
              <w:rPr>
                <w:rStyle w:val="5"/>
                <w:rFonts w:hint="eastAsia"/>
                <w:b w:val="0"/>
                <w:color w:val="000000"/>
              </w:rPr>
              <w:t>提升肿瘤</w:t>
            </w:r>
            <w:r>
              <w:rPr>
                <w:rStyle w:val="5"/>
                <w:b w:val="0"/>
                <w:color w:val="000000"/>
              </w:rPr>
              <w:t>免疫治疗效果奠定了基础，</w:t>
            </w:r>
            <w:r>
              <w:rPr>
                <w:rStyle w:val="5"/>
                <w:rFonts w:hint="eastAsia"/>
                <w:b w:val="0"/>
                <w:color w:val="000000"/>
              </w:rPr>
              <w:t>显著</w:t>
            </w:r>
            <w:r>
              <w:rPr>
                <w:rStyle w:val="5"/>
                <w:b w:val="0"/>
                <w:color w:val="000000"/>
              </w:rPr>
              <w:t>提升了我</w:t>
            </w:r>
            <w:r>
              <w:rPr>
                <w:rStyle w:val="5"/>
                <w:rFonts w:hint="eastAsia"/>
                <w:b w:val="0"/>
                <w:color w:val="000000"/>
              </w:rPr>
              <w:t>国</w:t>
            </w:r>
            <w:r>
              <w:rPr>
                <w:rStyle w:val="5"/>
                <w:b w:val="0"/>
                <w:color w:val="000000"/>
              </w:rPr>
              <w:t>在该领域的研究优势和知名度。</w:t>
            </w:r>
            <w:r>
              <w:rPr>
                <w:rStyle w:val="5"/>
                <w:rFonts w:hint="eastAsia"/>
                <w:b w:val="0"/>
                <w:color w:val="000000"/>
              </w:rPr>
              <w:t>该成</w:t>
            </w:r>
            <w:r>
              <w:rPr>
                <w:rStyle w:val="5"/>
                <w:b w:val="0"/>
                <w:color w:val="000000"/>
              </w:rPr>
              <w:t>果</w:t>
            </w:r>
            <w:r>
              <w:rPr>
                <w:rStyle w:val="5"/>
                <w:rFonts w:hint="eastAsia"/>
                <w:b w:val="0"/>
                <w:color w:val="000000"/>
              </w:rPr>
              <w:t>先后</w:t>
            </w:r>
            <w:r>
              <w:rPr>
                <w:rStyle w:val="5"/>
                <w:b w:val="0"/>
                <w:color w:val="000000"/>
              </w:rPr>
              <w:t>在Cell Research、Gut、Nature Cell Biology、Hepatology、Cancer Research、Genes &amp; Development等国内外知名杂志</w:t>
            </w:r>
            <w:r>
              <w:rPr>
                <w:rStyle w:val="5"/>
                <w:rFonts w:hint="eastAsia"/>
                <w:b w:val="0"/>
                <w:color w:val="000000"/>
              </w:rPr>
              <w:t>上发表论文总计10</w:t>
            </w:r>
            <w:r>
              <w:rPr>
                <w:rStyle w:val="5"/>
                <w:b w:val="0"/>
                <w:color w:val="000000"/>
              </w:rPr>
              <w:t>1</w:t>
            </w:r>
            <w:r>
              <w:rPr>
                <w:rStyle w:val="5"/>
                <w:rFonts w:hint="eastAsia"/>
                <w:b w:val="0"/>
                <w:color w:val="000000"/>
              </w:rPr>
              <w:t>篇</w:t>
            </w:r>
            <w:r>
              <w:rPr>
                <w:rStyle w:val="5"/>
                <w:b w:val="0"/>
                <w:color w:val="000000"/>
              </w:rPr>
              <w:t>。授权国家发明专利</w:t>
            </w:r>
            <w:r>
              <w:rPr>
                <w:rStyle w:val="5"/>
                <w:rFonts w:hint="eastAsia"/>
                <w:b w:val="0"/>
                <w:color w:val="000000"/>
              </w:rPr>
              <w:t>7</w:t>
            </w:r>
            <w:r>
              <w:rPr>
                <w:rStyle w:val="5"/>
                <w:b w:val="0"/>
                <w:color w:val="000000"/>
              </w:rPr>
              <w:t>件，具有良好的转化前景。研究论文得到国际同行高度认可，被</w:t>
            </w:r>
            <w:r>
              <w:rPr>
                <w:rStyle w:val="5"/>
                <w:rFonts w:hint="eastAsia"/>
                <w:b w:val="0"/>
                <w:color w:val="000000"/>
              </w:rPr>
              <w:t>Nature、</w:t>
            </w:r>
            <w:r>
              <w:rPr>
                <w:rStyle w:val="5"/>
                <w:b w:val="0"/>
                <w:color w:val="000000"/>
              </w:rPr>
              <w:t>Gut</w:t>
            </w:r>
            <w:r>
              <w:rPr>
                <w:rStyle w:val="5"/>
                <w:rFonts w:hint="eastAsia"/>
                <w:b w:val="0"/>
                <w:color w:val="000000"/>
              </w:rPr>
              <w:t>等</w:t>
            </w:r>
            <w:r>
              <w:rPr>
                <w:rStyle w:val="5"/>
                <w:b w:val="0"/>
                <w:color w:val="000000"/>
              </w:rPr>
              <w:t>杂志</w:t>
            </w:r>
            <w:r>
              <w:rPr>
                <w:rStyle w:val="5"/>
                <w:rFonts w:hint="eastAsia"/>
                <w:b w:val="0"/>
                <w:color w:val="000000"/>
              </w:rPr>
              <w:t>亮点报道</w:t>
            </w:r>
            <w:r>
              <w:rPr>
                <w:rStyle w:val="5"/>
                <w:b w:val="0"/>
                <w:color w:val="000000"/>
              </w:rPr>
              <w:t>，受到Nature Reviews Cancer、Nature Reviews Gastroenterology &amp; Hepatology、Cancer Cell、Immunity等国际顶级期刊引用共1500余次，</w:t>
            </w:r>
            <w:r>
              <w:rPr>
                <w:rStyle w:val="5"/>
                <w:rFonts w:hint="eastAsia"/>
                <w:b w:val="0"/>
                <w:color w:val="000000"/>
              </w:rPr>
              <w:t>获浙江省自然科学一等奖2项，</w:t>
            </w:r>
            <w:r>
              <w:rPr>
                <w:rStyle w:val="5"/>
                <w:b w:val="0"/>
                <w:color w:val="000000"/>
              </w:rPr>
              <w:t>并在此基础上获得</w:t>
            </w:r>
            <w:r>
              <w:rPr>
                <w:rStyle w:val="5"/>
                <w:rFonts w:hint="eastAsia"/>
                <w:b w:val="0"/>
                <w:color w:val="000000"/>
              </w:rPr>
              <w:t>国家自然科学基金基础科学中心、</w:t>
            </w:r>
            <w:r>
              <w:rPr>
                <w:rStyle w:val="5"/>
                <w:b w:val="0"/>
                <w:color w:val="000000"/>
              </w:rPr>
              <w:t>国家自然科学基金</w:t>
            </w:r>
            <w:r>
              <w:rPr>
                <w:rStyle w:val="5"/>
                <w:rFonts w:hint="eastAsia"/>
                <w:b w:val="0"/>
                <w:color w:val="000000"/>
              </w:rPr>
              <w:t>创新研究群体项目、国</w:t>
            </w:r>
            <w:r>
              <w:rPr>
                <w:rStyle w:val="5"/>
                <w:b w:val="0"/>
                <w:color w:val="000000"/>
              </w:rPr>
              <w:t>家重点研发计划、国家自然科学基金重点项目等资助。同意提名浙江大学医学院基础研究创新奖。</w:t>
            </w:r>
          </w:p>
        </w:tc>
      </w:tr>
    </w:tbl>
    <w:p>
      <w:pPr>
        <w:widowControl/>
        <w:spacing w:line="360" w:lineRule="auto"/>
        <w:ind w:right="-315" w:rightChars="-150"/>
        <w:jc w:val="left"/>
        <w:rPr>
          <w:rFonts w:ascii="宋体" w:hAnsi="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404C6"/>
    <w:multiLevelType w:val="singleLevel"/>
    <w:tmpl w:val="86D404C6"/>
    <w:lvl w:ilvl="0" w:tentative="0">
      <w:start w:val="1"/>
      <w:numFmt w:val="decimal"/>
      <w:lvlText w:val="%1."/>
      <w:lvlJc w:val="left"/>
      <w:pPr>
        <w:tabs>
          <w:tab w:val="left" w:pos="312"/>
        </w:tabs>
      </w:pPr>
    </w:lvl>
  </w:abstractNum>
  <w:abstractNum w:abstractNumId="1">
    <w:nsid w:val="CB531C0E"/>
    <w:multiLevelType w:val="singleLevel"/>
    <w:tmpl w:val="CB531C0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NjUzNjZiNjM4NjViNjc1MmExMzE0MDk5N2ExODYifQ=="/>
  </w:docVars>
  <w:rsids>
    <w:rsidRoot w:val="00866CED"/>
    <w:rsid w:val="00055A0E"/>
    <w:rsid w:val="000C00F2"/>
    <w:rsid w:val="000C1DD8"/>
    <w:rsid w:val="00131538"/>
    <w:rsid w:val="001E16F4"/>
    <w:rsid w:val="0021704A"/>
    <w:rsid w:val="0036405F"/>
    <w:rsid w:val="003A61FD"/>
    <w:rsid w:val="003C5E7E"/>
    <w:rsid w:val="00493BF9"/>
    <w:rsid w:val="004F0C79"/>
    <w:rsid w:val="00611B02"/>
    <w:rsid w:val="00622149"/>
    <w:rsid w:val="006749E2"/>
    <w:rsid w:val="006B7E74"/>
    <w:rsid w:val="006E2140"/>
    <w:rsid w:val="00717B7D"/>
    <w:rsid w:val="00803B64"/>
    <w:rsid w:val="00866CED"/>
    <w:rsid w:val="008A3CC1"/>
    <w:rsid w:val="008B517D"/>
    <w:rsid w:val="008E4BC7"/>
    <w:rsid w:val="009256CB"/>
    <w:rsid w:val="00953EC8"/>
    <w:rsid w:val="009C075D"/>
    <w:rsid w:val="00A736DC"/>
    <w:rsid w:val="00AB430B"/>
    <w:rsid w:val="00B021A1"/>
    <w:rsid w:val="00B431D7"/>
    <w:rsid w:val="00C16C0D"/>
    <w:rsid w:val="00CF3269"/>
    <w:rsid w:val="00D15FEF"/>
    <w:rsid w:val="00D443AA"/>
    <w:rsid w:val="00D849FB"/>
    <w:rsid w:val="00DE051E"/>
    <w:rsid w:val="00E125D7"/>
    <w:rsid w:val="00E439EC"/>
    <w:rsid w:val="00F067DC"/>
    <w:rsid w:val="16331C36"/>
    <w:rsid w:val="1C80194D"/>
    <w:rsid w:val="22EA5D72"/>
    <w:rsid w:val="271005D5"/>
    <w:rsid w:val="2927562A"/>
    <w:rsid w:val="37A24A9D"/>
    <w:rsid w:val="3CE05DC4"/>
    <w:rsid w:val="42DD6902"/>
    <w:rsid w:val="4FA40ED3"/>
    <w:rsid w:val="589F15AD"/>
    <w:rsid w:val="632A17DF"/>
    <w:rsid w:val="686D47B5"/>
    <w:rsid w:val="6CEE4BC6"/>
    <w:rsid w:val="6EA6211A"/>
    <w:rsid w:val="73614861"/>
    <w:rsid w:val="75410DEE"/>
    <w:rsid w:val="77770AF7"/>
    <w:rsid w:val="78E46899"/>
    <w:rsid w:val="797D43BF"/>
    <w:rsid w:val="7B95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jc w:val="center"/>
      <w:outlineLvl w:val="0"/>
    </w:pPr>
    <w:rPr>
      <w:rFonts w:ascii="宋体" w:hAnsi="宋体" w:cs="宋体"/>
      <w:b/>
      <w:bCs/>
      <w:color w:val="000000"/>
      <w:kern w:val="36"/>
      <w:sz w:val="36"/>
      <w:szCs w:val="36"/>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1696</Words>
  <Characters>2886</Characters>
  <Lines>21</Lines>
  <Paragraphs>6</Paragraphs>
  <TotalTime>0</TotalTime>
  <ScaleCrop>false</ScaleCrop>
  <LinksUpToDate>false</LinksUpToDate>
  <CharactersWithSpaces>3031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2023-06-27T14:14:00Z</dcterms:created>
  <dc:creator>admin</dc:creator>
  <cp:lastModifiedBy>BXL</cp:lastModifiedBy>
  <dcterms:modified xsi:type="dcterms:W3CDTF">2023-06-30T06:42:48Z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894B926029434AFDA5A9B4498C75E526_13</vt:lpwstr>
  </property>
</Properties>
</file>